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2FE2B" w14:textId="77777777" w:rsidR="00625E33" w:rsidRPr="00625E33" w:rsidRDefault="00625E33" w:rsidP="00455CE1">
      <w:pPr>
        <w:jc w:val="both"/>
        <w:rPr>
          <w:rFonts w:ascii="Calibri" w:hAnsi="Calibri" w:cs="Calibri"/>
          <w:b/>
          <w:sz w:val="36"/>
          <w:szCs w:val="36"/>
          <w:highlight w:val="yellow"/>
        </w:rPr>
      </w:pPr>
    </w:p>
    <w:p w14:paraId="784F8F61" w14:textId="4EDA4A58" w:rsidR="00455CE1" w:rsidRPr="00625E33" w:rsidRDefault="00455CE1" w:rsidP="00455CE1">
      <w:pPr>
        <w:jc w:val="both"/>
        <w:rPr>
          <w:rFonts w:ascii="Calibri" w:hAnsi="Calibri" w:cs="Calibri"/>
          <w:b/>
          <w:sz w:val="36"/>
          <w:szCs w:val="36"/>
        </w:rPr>
      </w:pPr>
      <w:proofErr w:type="spellStart"/>
      <w:r w:rsidRPr="00625E33">
        <w:rPr>
          <w:rFonts w:ascii="Calibri" w:hAnsi="Calibri" w:cs="Calibri"/>
          <w:b/>
          <w:sz w:val="36"/>
          <w:szCs w:val="36"/>
          <w:highlight w:val="yellow"/>
        </w:rPr>
        <w:t>H1</w:t>
      </w:r>
      <w:proofErr w:type="spellEnd"/>
      <w:r w:rsidRPr="00625E33">
        <w:rPr>
          <w:rFonts w:ascii="Calibri" w:hAnsi="Calibri" w:cs="Calibri"/>
          <w:b/>
          <w:sz w:val="36"/>
          <w:szCs w:val="36"/>
          <w:highlight w:val="yellow"/>
        </w:rPr>
        <w:t xml:space="preserve">: </w:t>
      </w:r>
      <w:r w:rsidRPr="00625E33">
        <w:rPr>
          <w:rFonts w:ascii="Calibri" w:hAnsi="Calibri" w:cs="Calibri"/>
          <w:b/>
          <w:sz w:val="36"/>
          <w:szCs w:val="36"/>
          <w:highlight w:val="yellow"/>
          <w:lang w:eastAsia="zh-CN"/>
        </w:rPr>
        <w:t>Long Non-coding</w:t>
      </w:r>
      <w:r w:rsidRPr="00625E33">
        <w:rPr>
          <w:rFonts w:ascii="Calibri" w:hAnsi="Calibri" w:cs="Calibri"/>
          <w:b/>
          <w:sz w:val="36"/>
          <w:szCs w:val="36"/>
          <w:highlight w:val="yellow"/>
        </w:rPr>
        <w:t xml:space="preserve"> RNA Sequencing (lncRNA-seq)</w:t>
      </w:r>
    </w:p>
    <w:p w14:paraId="1F3C861C" w14:textId="77777777" w:rsidR="00455CE1" w:rsidRPr="00625E33" w:rsidRDefault="00455CE1" w:rsidP="00455CE1">
      <w:pPr>
        <w:jc w:val="both"/>
        <w:rPr>
          <w:rFonts w:ascii="Calibri" w:hAnsi="Calibri" w:cs="Calibri"/>
          <w:sz w:val="24"/>
          <w:szCs w:val="24"/>
        </w:rPr>
      </w:pPr>
    </w:p>
    <w:p w14:paraId="6FF19C09" w14:textId="77777777" w:rsidR="00455CE1" w:rsidRPr="00625E33" w:rsidRDefault="00455CE1" w:rsidP="00455CE1">
      <w:pPr>
        <w:jc w:val="both"/>
        <w:rPr>
          <w:rFonts w:ascii="Calibri" w:hAnsi="Calibri" w:cs="Calibri"/>
          <w:b/>
          <w:sz w:val="28"/>
          <w:szCs w:val="28"/>
        </w:rPr>
      </w:pPr>
      <w:r w:rsidRPr="00625E33">
        <w:rPr>
          <w:rFonts w:ascii="Calibri" w:hAnsi="Calibri" w:cs="Calibri"/>
          <w:b/>
          <w:sz w:val="28"/>
          <w:szCs w:val="28"/>
          <w:highlight w:val="yellow"/>
        </w:rPr>
        <w:t>Tab 1: Overview</w:t>
      </w:r>
    </w:p>
    <w:p w14:paraId="22FC0A7F" w14:textId="77777777" w:rsidR="00455CE1" w:rsidRPr="00625E33" w:rsidRDefault="00455CE1" w:rsidP="00455CE1">
      <w:pPr>
        <w:rPr>
          <w:rFonts w:ascii="Calibri" w:hAnsi="Calibri" w:cs="Calibri"/>
        </w:rPr>
      </w:pPr>
      <w:r w:rsidRPr="00625E3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9A44C" wp14:editId="51A0B054">
                <wp:simplePos x="0" y="0"/>
                <wp:positionH relativeFrom="column">
                  <wp:posOffset>8255</wp:posOffset>
                </wp:positionH>
                <wp:positionV relativeFrom="paragraph">
                  <wp:posOffset>19866</wp:posOffset>
                </wp:positionV>
                <wp:extent cx="5834742" cy="0"/>
                <wp:effectExtent l="0" t="12700" r="2032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474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0154612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55pt" to="460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" strokecolor="#4472c4 [3204]" strokeweight="1.5pt">
                <v:stroke joinstyle="miter"/>
              </v:line>
            </w:pict>
          </mc:Fallback>
        </mc:AlternateContent>
      </w:r>
    </w:p>
    <w:p w14:paraId="5054EA4C" w14:textId="3DD39BFC" w:rsidR="00455CE1" w:rsidRPr="00625E33" w:rsidRDefault="00455CE1" w:rsidP="00455CE1">
      <w:pPr>
        <w:jc w:val="both"/>
        <w:rPr>
          <w:rFonts w:ascii="Calibri" w:hAnsi="Calibri" w:cs="Calibri"/>
          <w:sz w:val="24"/>
          <w:szCs w:val="24"/>
        </w:rPr>
      </w:pPr>
      <w:proofErr w:type="spellStart"/>
      <w:r w:rsidRPr="00625E33">
        <w:rPr>
          <w:rFonts w:ascii="Calibri" w:hAnsi="Calibri" w:cs="Calibri"/>
          <w:b/>
          <w:bCs/>
          <w:sz w:val="24"/>
          <w:szCs w:val="24"/>
          <w:highlight w:val="yellow"/>
          <w:shd w:val="clear" w:color="auto" w:fill="FFF2CC"/>
        </w:rPr>
        <w:t>H2</w:t>
      </w:r>
      <w:proofErr w:type="spellEnd"/>
      <w:r w:rsidRPr="00625E33">
        <w:rPr>
          <w:rFonts w:ascii="Calibri" w:hAnsi="Calibri" w:cs="Calibri"/>
          <w:b/>
          <w:bCs/>
          <w:sz w:val="24"/>
          <w:szCs w:val="24"/>
          <w:highlight w:val="yellow"/>
          <w:shd w:val="clear" w:color="auto" w:fill="FFF2CC"/>
        </w:rPr>
        <w:t xml:space="preserve">: </w:t>
      </w:r>
      <w:r w:rsidRPr="00625E33">
        <w:rPr>
          <w:rFonts w:ascii="Calibri" w:hAnsi="Calibri" w:cs="Calibri"/>
          <w:b/>
          <w:bCs/>
          <w:sz w:val="24"/>
          <w:szCs w:val="24"/>
          <w:highlight w:val="yellow"/>
          <w:shd w:val="clear" w:color="auto" w:fill="FFF2CC"/>
          <w:lang w:eastAsia="zh-CN"/>
        </w:rPr>
        <w:t>Introduction to lnc</w:t>
      </w:r>
      <w:r w:rsidRPr="00625E33">
        <w:rPr>
          <w:rFonts w:ascii="Calibri" w:hAnsi="Calibri" w:cs="Calibri"/>
          <w:b/>
          <w:bCs/>
          <w:sz w:val="24"/>
          <w:szCs w:val="24"/>
          <w:highlight w:val="yellow"/>
          <w:shd w:val="clear" w:color="auto" w:fill="FFF2CC"/>
        </w:rPr>
        <w:t>RNA Sequencing</w:t>
      </w:r>
    </w:p>
    <w:p w14:paraId="1247F480" w14:textId="77777777" w:rsidR="00455CE1" w:rsidRPr="00625E33" w:rsidRDefault="00455CE1" w:rsidP="00455CE1">
      <w:pPr>
        <w:rPr>
          <w:rFonts w:ascii="Calibri" w:hAnsi="Calibri" w:cs="Calibri"/>
        </w:rPr>
      </w:pPr>
    </w:p>
    <w:p w14:paraId="0C69E02B" w14:textId="432D5ED9" w:rsidR="00645E7B" w:rsidRPr="00625E33" w:rsidRDefault="00455CE1" w:rsidP="00455CE1">
      <w:pPr>
        <w:rPr>
          <w:rFonts w:ascii="Calibri" w:hAnsi="Calibri" w:cs="Calibri"/>
          <w:sz w:val="24"/>
        </w:rPr>
      </w:pPr>
      <w:r w:rsidRPr="00373EFF">
        <w:rPr>
          <w:rFonts w:ascii="Calibri" w:hAnsi="Calibri" w:cs="Calibri"/>
          <w:b/>
          <w:bCs/>
          <w:sz w:val="24"/>
        </w:rPr>
        <w:t>Long non-coding RNAs (</w:t>
      </w:r>
      <w:proofErr w:type="spellStart"/>
      <w:r w:rsidRPr="00373EFF">
        <w:rPr>
          <w:rFonts w:ascii="Calibri" w:hAnsi="Calibri" w:cs="Calibri"/>
          <w:b/>
          <w:bCs/>
          <w:sz w:val="24"/>
        </w:rPr>
        <w:t>lncRNAs</w:t>
      </w:r>
      <w:proofErr w:type="spellEnd"/>
      <w:r w:rsidRPr="00373EFF">
        <w:rPr>
          <w:rFonts w:ascii="Calibri" w:hAnsi="Calibri" w:cs="Calibri"/>
          <w:b/>
          <w:bCs/>
          <w:sz w:val="24"/>
        </w:rPr>
        <w:t>)</w:t>
      </w:r>
      <w:r w:rsidRPr="00625E33">
        <w:rPr>
          <w:rFonts w:ascii="Calibri" w:hAnsi="Calibri" w:cs="Calibri"/>
          <w:sz w:val="24"/>
        </w:rPr>
        <w:t xml:space="preserve"> are a moderately abundant fraction of the eukaryotic transcriptome</w:t>
      </w:r>
      <w:r w:rsidR="00625E33" w:rsidRPr="00625E33">
        <w:rPr>
          <w:rFonts w:ascii="Calibri" w:hAnsi="Calibri" w:cs="Calibri"/>
          <w:sz w:val="24"/>
        </w:rPr>
        <w:t>, which are</w:t>
      </w:r>
      <w:r w:rsidRPr="00625E33">
        <w:rPr>
          <w:rFonts w:ascii="Calibri" w:hAnsi="Calibri" w:cs="Calibri"/>
          <w:sz w:val="24"/>
        </w:rPr>
        <w:t xml:space="preserve"> comprised of longer than </w:t>
      </w:r>
      <w:proofErr w:type="spellStart"/>
      <w:r w:rsidRPr="00625E33">
        <w:rPr>
          <w:rFonts w:ascii="Calibri" w:hAnsi="Calibri" w:cs="Calibri"/>
          <w:sz w:val="24"/>
        </w:rPr>
        <w:t>200nt</w:t>
      </w:r>
      <w:proofErr w:type="spellEnd"/>
      <w:r w:rsidRPr="00625E33">
        <w:rPr>
          <w:rFonts w:ascii="Calibri" w:hAnsi="Calibri" w:cs="Calibri"/>
          <w:sz w:val="24"/>
        </w:rPr>
        <w:t xml:space="preserve"> </w:t>
      </w:r>
      <w:r w:rsidR="00373EFF" w:rsidRPr="00373EFF">
        <w:rPr>
          <w:rFonts w:ascii="Calibri" w:hAnsi="Calibri" w:cs="Calibri" w:hint="eastAsia"/>
          <w:b/>
          <w:bCs/>
          <w:sz w:val="24"/>
          <w:lang w:eastAsia="zh-CN"/>
        </w:rPr>
        <w:t>non</w:t>
      </w:r>
      <w:r w:rsidR="00373EFF" w:rsidRPr="00373EFF">
        <w:rPr>
          <w:rFonts w:ascii="Calibri" w:hAnsi="Calibri" w:cs="Calibri"/>
          <w:b/>
          <w:bCs/>
          <w:sz w:val="24"/>
          <w:lang w:eastAsia="zh-CN"/>
        </w:rPr>
        <w:t>-coding RNAs (ncRNAs</w:t>
      </w:r>
      <w:proofErr w:type="gramStart"/>
      <w:r w:rsidR="00373EFF" w:rsidRPr="00373EFF">
        <w:rPr>
          <w:rFonts w:ascii="Calibri" w:hAnsi="Calibri" w:cs="Calibri"/>
          <w:b/>
          <w:bCs/>
          <w:sz w:val="24"/>
          <w:lang w:eastAsia="zh-CN"/>
        </w:rPr>
        <w:t>)</w:t>
      </w:r>
      <w:r w:rsidR="00373EFF">
        <w:rPr>
          <w:rFonts w:ascii="Calibri" w:hAnsi="Calibri" w:cs="Calibri"/>
          <w:sz w:val="24"/>
          <w:lang w:eastAsia="zh-CN"/>
        </w:rPr>
        <w:t xml:space="preserve"> </w:t>
      </w:r>
      <w:r w:rsidR="00795F86">
        <w:rPr>
          <w:rFonts w:ascii="Calibri" w:hAnsi="Calibri" w:cs="Calibri" w:hint="eastAsia"/>
          <w:sz w:val="24"/>
          <w:lang w:eastAsia="zh-CN"/>
        </w:rPr>
        <w:t>,</w:t>
      </w:r>
      <w:proofErr w:type="gramEnd"/>
      <w:r w:rsidR="00795F86">
        <w:rPr>
          <w:rFonts w:ascii="Calibri" w:hAnsi="Calibri" w:cs="Calibri"/>
          <w:sz w:val="24"/>
          <w:lang w:eastAsia="zh-CN"/>
        </w:rPr>
        <w:t xml:space="preserve"> including </w:t>
      </w:r>
      <w:r w:rsidR="00795F86" w:rsidRPr="00FB583B">
        <w:rPr>
          <w:rFonts w:ascii="Calibri" w:hAnsi="Calibri" w:cs="Calibri"/>
          <w:color w:val="000000" w:themeColor="text1"/>
          <w:sz w:val="24"/>
          <w:lang w:eastAsia="zh-CN"/>
        </w:rPr>
        <w:t xml:space="preserve">lincRNAs </w:t>
      </w:r>
      <w:r w:rsidR="00795F86">
        <w:rPr>
          <w:rFonts w:ascii="Calibri" w:hAnsi="Calibri" w:cs="Calibri"/>
          <w:color w:val="000000" w:themeColor="text1"/>
          <w:sz w:val="24"/>
          <w:lang w:eastAsia="zh-CN"/>
        </w:rPr>
        <w:t>(</w:t>
      </w:r>
      <w:r w:rsidR="00795F86" w:rsidRPr="00FB583B">
        <w:rPr>
          <w:rFonts w:ascii="Calibri" w:hAnsi="Calibri" w:cs="Calibri"/>
          <w:color w:val="000000" w:themeColor="text1"/>
          <w:sz w:val="24"/>
          <w:lang w:eastAsia="zh-CN"/>
        </w:rPr>
        <w:t xml:space="preserve">intergenic </w:t>
      </w:r>
      <w:proofErr w:type="spellStart"/>
      <w:r w:rsidR="00795F86" w:rsidRPr="00FB583B">
        <w:rPr>
          <w:rFonts w:ascii="Calibri" w:hAnsi="Calibri" w:cs="Calibri"/>
          <w:color w:val="000000" w:themeColor="text1"/>
          <w:sz w:val="24"/>
          <w:lang w:eastAsia="zh-CN"/>
        </w:rPr>
        <w:t>lncRNAs</w:t>
      </w:r>
      <w:proofErr w:type="spellEnd"/>
      <w:r w:rsidR="00795F86" w:rsidRPr="00FB583B">
        <w:rPr>
          <w:rFonts w:ascii="Calibri" w:hAnsi="Calibri" w:cs="Calibri"/>
          <w:color w:val="000000" w:themeColor="text1"/>
          <w:sz w:val="24"/>
          <w:lang w:eastAsia="zh-CN"/>
        </w:rPr>
        <w:t xml:space="preserve">), intronic, anti-sense, sense </w:t>
      </w:r>
      <w:r w:rsidR="00795F86">
        <w:rPr>
          <w:rFonts w:ascii="Calibri" w:hAnsi="Calibri" w:cs="Calibri"/>
          <w:color w:val="000000" w:themeColor="text1"/>
          <w:sz w:val="24"/>
          <w:lang w:eastAsia="zh-CN"/>
        </w:rPr>
        <w:t xml:space="preserve">and </w:t>
      </w:r>
      <w:r w:rsidR="00795F86" w:rsidRPr="00FB583B">
        <w:rPr>
          <w:rFonts w:ascii="Calibri" w:hAnsi="Calibri" w:cs="Calibri"/>
          <w:color w:val="000000" w:themeColor="text1"/>
          <w:sz w:val="24"/>
          <w:lang w:eastAsia="zh-CN"/>
        </w:rPr>
        <w:t xml:space="preserve">bidirectional </w:t>
      </w:r>
      <w:proofErr w:type="spellStart"/>
      <w:r w:rsidR="00795F86" w:rsidRPr="00FB583B">
        <w:rPr>
          <w:rFonts w:ascii="Calibri" w:hAnsi="Calibri" w:cs="Calibri"/>
          <w:color w:val="000000" w:themeColor="text1"/>
          <w:sz w:val="24"/>
          <w:lang w:eastAsia="zh-CN"/>
        </w:rPr>
        <w:t>lncRNAs</w:t>
      </w:r>
      <w:proofErr w:type="spellEnd"/>
      <w:r w:rsidR="00795F86">
        <w:rPr>
          <w:rFonts w:ascii="Calibri" w:hAnsi="Calibri" w:cs="Calibri"/>
          <w:color w:val="000000" w:themeColor="text1"/>
          <w:sz w:val="24"/>
          <w:lang w:eastAsia="zh-CN"/>
        </w:rPr>
        <w:t>,</w:t>
      </w:r>
      <w:r w:rsidR="00795F86" w:rsidRPr="00625E33">
        <w:rPr>
          <w:rFonts w:ascii="Calibri" w:hAnsi="Calibri" w:cs="Calibri"/>
          <w:sz w:val="24"/>
        </w:rPr>
        <w:t xml:space="preserve"> </w:t>
      </w:r>
      <w:r w:rsidR="00795F86">
        <w:rPr>
          <w:rFonts w:ascii="Calibri" w:hAnsi="Calibri" w:cs="Calibri"/>
          <w:sz w:val="24"/>
        </w:rPr>
        <w:t>which</w:t>
      </w:r>
      <w:r w:rsidRPr="00625E33">
        <w:rPr>
          <w:rFonts w:ascii="Calibri" w:hAnsi="Calibri" w:cs="Calibri"/>
          <w:sz w:val="24"/>
        </w:rPr>
        <w:t xml:space="preserve"> do not encode proteins. </w:t>
      </w:r>
      <w:r w:rsidR="00F12570" w:rsidRPr="00625E33">
        <w:rPr>
          <w:rFonts w:ascii="Calibri" w:hAnsi="Calibri" w:cs="Calibri"/>
          <w:sz w:val="24"/>
          <w:lang w:eastAsia="zh-CN"/>
        </w:rPr>
        <w:t xml:space="preserve">Effects of </w:t>
      </w:r>
      <w:proofErr w:type="spellStart"/>
      <w:r w:rsidRPr="00625E33">
        <w:rPr>
          <w:rFonts w:ascii="Calibri" w:hAnsi="Calibri" w:cs="Calibri"/>
          <w:color w:val="000000" w:themeColor="text1"/>
          <w:sz w:val="24"/>
        </w:rPr>
        <w:t>lncRNAs</w:t>
      </w:r>
      <w:proofErr w:type="spellEnd"/>
      <w:r w:rsidR="00795F86">
        <w:rPr>
          <w:rFonts w:ascii="Calibri" w:hAnsi="Calibri" w:cs="Calibri"/>
          <w:color w:val="000000" w:themeColor="text1"/>
          <w:sz w:val="24"/>
          <w:lang w:eastAsia="zh-CN"/>
        </w:rPr>
        <w:t xml:space="preserve"> </w:t>
      </w:r>
      <w:r w:rsidRPr="00625E33">
        <w:rPr>
          <w:rFonts w:ascii="Calibri" w:hAnsi="Calibri" w:cs="Calibri"/>
          <w:color w:val="000000" w:themeColor="text1"/>
          <w:sz w:val="24"/>
          <w:lang w:eastAsia="zh-CN"/>
        </w:rPr>
        <w:t>show</w:t>
      </w:r>
      <w:r w:rsidRPr="00625E33">
        <w:rPr>
          <w:rFonts w:ascii="Calibri" w:hAnsi="Calibri" w:cs="Calibri"/>
          <w:color w:val="000000" w:themeColor="text1"/>
          <w:sz w:val="24"/>
        </w:rPr>
        <w:t xml:space="preserve"> evidence on multiple cellular functions and perform as prime targets on the regulation of gene transcription, post-transcriptional modifications, and epigenetics.</w:t>
      </w:r>
      <w:r w:rsidR="00645E7B" w:rsidRPr="00625E33">
        <w:rPr>
          <w:rFonts w:ascii="Calibri" w:hAnsi="Calibri" w:cs="Calibri"/>
          <w:color w:val="FF0000"/>
          <w:sz w:val="24"/>
        </w:rPr>
        <w:t xml:space="preserve"> </w:t>
      </w:r>
      <w:r w:rsidR="00645E7B" w:rsidRPr="00373EFF">
        <w:rPr>
          <w:rFonts w:ascii="Calibri" w:hAnsi="Calibri" w:cs="Calibri"/>
          <w:b/>
          <w:bCs/>
          <w:sz w:val="24"/>
        </w:rPr>
        <w:t xml:space="preserve">lncRNA </w:t>
      </w:r>
      <w:r w:rsidRPr="00373EFF">
        <w:rPr>
          <w:rFonts w:ascii="Calibri" w:hAnsi="Calibri" w:cs="Calibri"/>
          <w:b/>
          <w:bCs/>
          <w:sz w:val="24"/>
        </w:rPr>
        <w:t>sequen</w:t>
      </w:r>
      <w:r w:rsidRPr="00373EFF">
        <w:rPr>
          <w:rFonts w:ascii="Calibri" w:hAnsi="Calibri" w:cs="Calibri"/>
          <w:b/>
          <w:bCs/>
          <w:color w:val="000000" w:themeColor="text1"/>
          <w:sz w:val="24"/>
        </w:rPr>
        <w:t>cing (lncRNA-seq)</w:t>
      </w:r>
      <w:r w:rsidR="00645E7B" w:rsidRPr="00625E33">
        <w:rPr>
          <w:rFonts w:ascii="Calibri" w:hAnsi="Calibri" w:cs="Calibri"/>
          <w:color w:val="000000" w:themeColor="text1"/>
          <w:sz w:val="24"/>
        </w:rPr>
        <w:t xml:space="preserve"> </w:t>
      </w:r>
      <w:r w:rsidR="00645E7B" w:rsidRPr="00625E33">
        <w:rPr>
          <w:rFonts w:ascii="Calibri" w:hAnsi="Calibri" w:cs="Calibri"/>
          <w:color w:val="000000" w:themeColor="text1"/>
          <w:sz w:val="24"/>
          <w:lang w:eastAsia="zh-CN"/>
        </w:rPr>
        <w:t xml:space="preserve">is </w:t>
      </w:r>
      <w:r w:rsidRPr="00625E33">
        <w:rPr>
          <w:rFonts w:ascii="Calibri" w:hAnsi="Calibri" w:cs="Calibri"/>
          <w:color w:val="000000" w:themeColor="text1"/>
          <w:sz w:val="24"/>
        </w:rPr>
        <w:t>a powerful NGS tool to study functional roles in diverse biological processes and human diseases</w:t>
      </w:r>
      <w:r w:rsidR="00645E7B" w:rsidRPr="00625E33">
        <w:rPr>
          <w:rFonts w:ascii="Calibri" w:hAnsi="Calibri" w:cs="Calibri"/>
          <w:color w:val="000000" w:themeColor="text1"/>
          <w:sz w:val="24"/>
        </w:rPr>
        <w:t>, such as cancer and neurological disorders</w:t>
      </w:r>
      <w:r w:rsidRPr="00625E33">
        <w:rPr>
          <w:rFonts w:ascii="Calibri" w:hAnsi="Calibri" w:cs="Calibri"/>
          <w:sz w:val="24"/>
        </w:rPr>
        <w:t xml:space="preserve">. </w:t>
      </w:r>
    </w:p>
    <w:p w14:paraId="505A74E5" w14:textId="77777777" w:rsidR="00645E7B" w:rsidRPr="00625E33" w:rsidRDefault="00645E7B" w:rsidP="00455CE1">
      <w:pPr>
        <w:rPr>
          <w:rFonts w:ascii="Calibri" w:hAnsi="Calibri" w:cs="Calibri"/>
          <w:sz w:val="24"/>
        </w:rPr>
      </w:pPr>
    </w:p>
    <w:p w14:paraId="06802D43" w14:textId="0E70D9FE" w:rsidR="00455CE1" w:rsidRPr="00625E33" w:rsidRDefault="00455CE1" w:rsidP="00455CE1">
      <w:pPr>
        <w:rPr>
          <w:rFonts w:ascii="Calibri" w:hAnsi="Calibri" w:cs="Calibri"/>
          <w:color w:val="FF0000"/>
          <w:sz w:val="24"/>
        </w:rPr>
      </w:pPr>
      <w:r w:rsidRPr="00625E33">
        <w:rPr>
          <w:rFonts w:ascii="Calibri" w:hAnsi="Calibri" w:cs="Calibri"/>
          <w:sz w:val="24"/>
        </w:rPr>
        <w:t xml:space="preserve">The progressive library preparation </w:t>
      </w:r>
      <w:r w:rsidR="00645E7B" w:rsidRPr="00625E33">
        <w:rPr>
          <w:rFonts w:ascii="Calibri" w:hAnsi="Calibri" w:cs="Calibri"/>
          <w:sz w:val="24"/>
        </w:rPr>
        <w:t xml:space="preserve">of </w:t>
      </w:r>
      <w:proofErr w:type="spellStart"/>
      <w:r w:rsidR="00645E7B" w:rsidRPr="00625E33">
        <w:rPr>
          <w:rFonts w:ascii="Calibri" w:hAnsi="Calibri" w:cs="Calibri"/>
          <w:sz w:val="24"/>
        </w:rPr>
        <w:t>Novogene’s</w:t>
      </w:r>
      <w:proofErr w:type="spellEnd"/>
      <w:r w:rsidR="00645E7B" w:rsidRPr="00625E33">
        <w:rPr>
          <w:rFonts w:ascii="Calibri" w:hAnsi="Calibri" w:cs="Calibri"/>
          <w:sz w:val="24"/>
        </w:rPr>
        <w:t xml:space="preserve"> lncRNA-seq service </w:t>
      </w:r>
      <w:r w:rsidRPr="00625E33">
        <w:rPr>
          <w:rFonts w:ascii="Calibri" w:hAnsi="Calibri" w:cs="Calibri"/>
          <w:sz w:val="24"/>
        </w:rPr>
        <w:t>enables information enrichment and gene expression profiling for both coding and non-coding transcripts from a highly sensitive transcriptomic perspective. Through the application of</w:t>
      </w:r>
      <w:r w:rsidR="00645E7B" w:rsidRPr="00625E33">
        <w:rPr>
          <w:rFonts w:ascii="Calibri" w:hAnsi="Calibri" w:cs="Calibri"/>
          <w:sz w:val="24"/>
        </w:rPr>
        <w:t xml:space="preserve"> </w:t>
      </w:r>
      <w:r w:rsidRPr="00625E33">
        <w:rPr>
          <w:rFonts w:ascii="Calibri" w:hAnsi="Calibri" w:cs="Calibri"/>
          <w:sz w:val="24"/>
        </w:rPr>
        <w:t xml:space="preserve">bioinformatics analysis, the strand </w:t>
      </w:r>
      <w:proofErr w:type="gramStart"/>
      <w:r w:rsidRPr="00625E33">
        <w:rPr>
          <w:rFonts w:ascii="Calibri" w:hAnsi="Calibri" w:cs="Calibri"/>
          <w:sz w:val="24"/>
        </w:rPr>
        <w:t>orientation</w:t>
      </w:r>
      <w:proofErr w:type="gramEnd"/>
      <w:r w:rsidRPr="00625E33">
        <w:rPr>
          <w:rFonts w:ascii="Calibri" w:hAnsi="Calibri" w:cs="Calibri"/>
          <w:sz w:val="24"/>
        </w:rPr>
        <w:t xml:space="preserve"> and the regulatory association between lncRNA and targeted mRNA can be investigated</w:t>
      </w:r>
      <w:r w:rsidR="00645E7B" w:rsidRPr="00625E33">
        <w:rPr>
          <w:rFonts w:ascii="Calibri" w:hAnsi="Calibri" w:cs="Calibri"/>
          <w:sz w:val="24"/>
        </w:rPr>
        <w:t>, all in a single run</w:t>
      </w:r>
      <w:r w:rsidRPr="00625E33">
        <w:rPr>
          <w:rFonts w:ascii="Calibri" w:hAnsi="Calibri" w:cs="Calibri"/>
          <w:sz w:val="24"/>
        </w:rPr>
        <w:t xml:space="preserve">. </w:t>
      </w:r>
    </w:p>
    <w:p w14:paraId="7E550774" w14:textId="77777777" w:rsidR="00455CE1" w:rsidRPr="00625E33" w:rsidRDefault="00455CE1" w:rsidP="00455CE1">
      <w:pPr>
        <w:rPr>
          <w:rFonts w:ascii="Calibri" w:hAnsi="Calibri" w:cs="Calibri"/>
        </w:rPr>
      </w:pPr>
    </w:p>
    <w:p w14:paraId="6B5A4CDF" w14:textId="414C16FF" w:rsidR="00455CE1" w:rsidRPr="00625E33" w:rsidRDefault="00455CE1" w:rsidP="00455CE1">
      <w:pPr>
        <w:rPr>
          <w:rFonts w:ascii="Calibri" w:hAnsi="Calibri" w:cs="Calibri"/>
          <w:b/>
          <w:bCs/>
          <w:sz w:val="24"/>
        </w:rPr>
      </w:pPr>
      <w:proofErr w:type="spellStart"/>
      <w:r w:rsidRPr="00625E33">
        <w:rPr>
          <w:rFonts w:ascii="Calibri" w:hAnsi="Calibri" w:cs="Calibri"/>
          <w:b/>
          <w:bCs/>
          <w:sz w:val="24"/>
          <w:highlight w:val="yellow"/>
        </w:rPr>
        <w:t>H2</w:t>
      </w:r>
      <w:proofErr w:type="spellEnd"/>
      <w:r w:rsidRPr="00625E33">
        <w:rPr>
          <w:rFonts w:ascii="Calibri" w:hAnsi="Calibri" w:cs="Calibri"/>
          <w:b/>
          <w:bCs/>
          <w:sz w:val="24"/>
          <w:highlight w:val="yellow"/>
        </w:rPr>
        <w:t>: How does lncRNA sequencing work?</w:t>
      </w:r>
    </w:p>
    <w:p w14:paraId="1F1B167F" w14:textId="77777777" w:rsidR="00F12570" w:rsidRPr="00625E33" w:rsidRDefault="00F12570" w:rsidP="00455CE1">
      <w:pPr>
        <w:rPr>
          <w:rFonts w:ascii="Calibri" w:hAnsi="Calibri" w:cs="Calibri"/>
          <w:b/>
          <w:bCs/>
          <w:sz w:val="24"/>
        </w:rPr>
      </w:pPr>
    </w:p>
    <w:p w14:paraId="14DDA3A9" w14:textId="15DC58EC" w:rsidR="00F12570" w:rsidRPr="00625E33" w:rsidRDefault="000026AC" w:rsidP="000026AC">
      <w:pPr>
        <w:rPr>
          <w:rFonts w:ascii="Calibri" w:hAnsi="Calibri" w:cs="Calibri"/>
          <w:sz w:val="24"/>
        </w:rPr>
      </w:pPr>
      <w:r w:rsidRPr="00625E33">
        <w:rPr>
          <w:rFonts w:ascii="Calibri" w:hAnsi="Calibri" w:cs="Calibri"/>
          <w:sz w:val="24"/>
        </w:rPr>
        <w:t>LncRNA-seq has been opening new and exciting research possibilities, including:</w:t>
      </w:r>
    </w:p>
    <w:p w14:paraId="4BBDC11B" w14:textId="02373EF8" w:rsidR="000026AC" w:rsidRPr="00625E33" w:rsidRDefault="000026AC" w:rsidP="000026AC">
      <w:pPr>
        <w:numPr>
          <w:ilvl w:val="0"/>
          <w:numId w:val="1"/>
        </w:numPr>
        <w:spacing w:line="240" w:lineRule="auto"/>
        <w:rPr>
          <w:rFonts w:ascii="Calibri" w:hAnsi="Calibri" w:cs="Calibri"/>
          <w:bCs/>
          <w:sz w:val="24"/>
        </w:rPr>
      </w:pPr>
      <w:r w:rsidRPr="00625E33">
        <w:rPr>
          <w:rFonts w:ascii="Calibri" w:hAnsi="Calibri" w:cs="Calibri"/>
          <w:bCs/>
          <w:sz w:val="24"/>
        </w:rPr>
        <w:t>Profiling known and novel transcripts and identifies variations</w:t>
      </w:r>
    </w:p>
    <w:p w14:paraId="49A60E1D" w14:textId="77777777" w:rsidR="000026AC" w:rsidRPr="00625E33" w:rsidRDefault="000026AC" w:rsidP="000026AC">
      <w:pPr>
        <w:numPr>
          <w:ilvl w:val="0"/>
          <w:numId w:val="1"/>
        </w:numPr>
        <w:spacing w:line="240" w:lineRule="auto"/>
        <w:rPr>
          <w:rFonts w:ascii="Calibri" w:hAnsi="Calibri" w:cs="Calibri"/>
          <w:bCs/>
          <w:sz w:val="24"/>
        </w:rPr>
      </w:pPr>
      <w:r w:rsidRPr="00625E33">
        <w:rPr>
          <w:rFonts w:ascii="Calibri" w:hAnsi="Calibri" w:cs="Calibri"/>
          <w:bCs/>
          <w:sz w:val="24"/>
        </w:rPr>
        <w:t>Predicting targeting genes of lncRNA</w:t>
      </w:r>
    </w:p>
    <w:p w14:paraId="02783832" w14:textId="1C7759AE" w:rsidR="000026AC" w:rsidRPr="00625E33" w:rsidRDefault="000026AC" w:rsidP="000026AC">
      <w:pPr>
        <w:numPr>
          <w:ilvl w:val="0"/>
          <w:numId w:val="1"/>
        </w:numPr>
        <w:spacing w:line="240" w:lineRule="auto"/>
        <w:rPr>
          <w:rFonts w:ascii="Calibri" w:hAnsi="Calibri" w:cs="Calibri"/>
          <w:bCs/>
          <w:sz w:val="24"/>
        </w:rPr>
      </w:pPr>
      <w:r w:rsidRPr="00625E33">
        <w:rPr>
          <w:rFonts w:ascii="Calibri" w:hAnsi="Calibri" w:cs="Calibri"/>
          <w:bCs/>
          <w:sz w:val="24"/>
        </w:rPr>
        <w:t>Identifying biomarkers for cancer/disease diagnostics and classification</w:t>
      </w:r>
    </w:p>
    <w:p w14:paraId="39CE10AE" w14:textId="6EDFD06F" w:rsidR="000026AC" w:rsidRPr="00625E33" w:rsidRDefault="000026AC" w:rsidP="00F12570">
      <w:pPr>
        <w:numPr>
          <w:ilvl w:val="0"/>
          <w:numId w:val="1"/>
        </w:numPr>
        <w:spacing w:line="240" w:lineRule="auto"/>
        <w:rPr>
          <w:rFonts w:ascii="Calibri" w:hAnsi="Calibri" w:cs="Calibri"/>
          <w:bCs/>
          <w:sz w:val="24"/>
        </w:rPr>
      </w:pPr>
      <w:r w:rsidRPr="00625E33">
        <w:rPr>
          <w:rFonts w:ascii="Calibri" w:hAnsi="Calibri" w:cs="Calibri"/>
          <w:bCs/>
          <w:sz w:val="24"/>
        </w:rPr>
        <w:t>Discovering regulat</w:t>
      </w:r>
      <w:r w:rsidR="006D6E25">
        <w:rPr>
          <w:rFonts w:ascii="Calibri" w:hAnsi="Calibri" w:cs="Calibri" w:hint="eastAsia"/>
          <w:bCs/>
          <w:sz w:val="24"/>
          <w:lang w:eastAsia="zh-CN"/>
        </w:rPr>
        <w:t>ion</w:t>
      </w:r>
      <w:r w:rsidR="006D6E25">
        <w:rPr>
          <w:rFonts w:ascii="Calibri" w:hAnsi="Calibri" w:cs="Calibri"/>
          <w:bCs/>
          <w:sz w:val="24"/>
          <w:lang w:eastAsia="zh-CN"/>
        </w:rPr>
        <w:t xml:space="preserve"> </w:t>
      </w:r>
      <w:r w:rsidRPr="00625E33">
        <w:rPr>
          <w:rFonts w:ascii="Calibri" w:hAnsi="Calibri" w:cs="Calibri"/>
          <w:bCs/>
          <w:sz w:val="24"/>
        </w:rPr>
        <w:t>between lncRNA and mRNA</w:t>
      </w:r>
    </w:p>
    <w:p w14:paraId="79963B10" w14:textId="2B7828E9" w:rsidR="00455CE1" w:rsidRPr="00625E33" w:rsidRDefault="00455CE1">
      <w:pPr>
        <w:rPr>
          <w:rFonts w:ascii="Calibri" w:hAnsi="Calibri" w:cs="Calibri"/>
        </w:rPr>
      </w:pPr>
    </w:p>
    <w:p w14:paraId="3BC62A64" w14:textId="3C551D90" w:rsidR="000026AC" w:rsidRPr="00625E33" w:rsidRDefault="000026AC">
      <w:pPr>
        <w:rPr>
          <w:rFonts w:ascii="Calibri" w:hAnsi="Calibri" w:cs="Calibri"/>
        </w:rPr>
      </w:pPr>
    </w:p>
    <w:p w14:paraId="6A5F0DC3" w14:textId="0BEE8D30" w:rsidR="000026AC" w:rsidRPr="00625E33" w:rsidRDefault="000026AC" w:rsidP="000026AC">
      <w:pPr>
        <w:rPr>
          <w:rFonts w:ascii="Calibri" w:hAnsi="Calibri" w:cs="Calibri"/>
          <w:b/>
          <w:bCs/>
          <w:sz w:val="24"/>
        </w:rPr>
      </w:pPr>
      <w:proofErr w:type="spellStart"/>
      <w:r w:rsidRPr="00625E33">
        <w:rPr>
          <w:rFonts w:ascii="Calibri" w:hAnsi="Calibri" w:cs="Calibri"/>
          <w:b/>
          <w:bCs/>
          <w:sz w:val="24"/>
          <w:highlight w:val="yellow"/>
        </w:rPr>
        <w:t>H2</w:t>
      </w:r>
      <w:proofErr w:type="spellEnd"/>
      <w:r w:rsidRPr="00625E33">
        <w:rPr>
          <w:rFonts w:ascii="Calibri" w:hAnsi="Calibri" w:cs="Calibri"/>
          <w:b/>
          <w:bCs/>
          <w:sz w:val="24"/>
          <w:highlight w:val="yellow"/>
        </w:rPr>
        <w:t>: lncRNA</w:t>
      </w:r>
      <w:r w:rsidR="006D6E25">
        <w:rPr>
          <w:rFonts w:ascii="Calibri" w:hAnsi="Calibri" w:cs="Calibri"/>
          <w:b/>
          <w:bCs/>
          <w:sz w:val="24"/>
          <w:highlight w:val="yellow"/>
        </w:rPr>
        <w:t>-seq</w:t>
      </w:r>
      <w:r w:rsidRPr="00625E33">
        <w:rPr>
          <w:rFonts w:ascii="Calibri" w:hAnsi="Calibri" w:cs="Calibri"/>
          <w:b/>
          <w:bCs/>
          <w:sz w:val="24"/>
          <w:highlight w:val="yellow"/>
        </w:rPr>
        <w:t xml:space="preserve"> Specifications: RNA Sample Requirements</w:t>
      </w:r>
    </w:p>
    <w:p w14:paraId="5B9FDB0A" w14:textId="77777777" w:rsidR="000026AC" w:rsidRPr="00625E33" w:rsidRDefault="000026AC" w:rsidP="000026AC">
      <w:pPr>
        <w:rPr>
          <w:rFonts w:ascii="Calibri" w:hAnsi="Calibri" w:cs="Calibri"/>
          <w:sz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1470"/>
        <w:gridCol w:w="1222"/>
        <w:gridCol w:w="2553"/>
        <w:gridCol w:w="2271"/>
      </w:tblGrid>
      <w:tr w:rsidR="000026AC" w:rsidRPr="00625E33" w14:paraId="6B3595CA" w14:textId="77777777" w:rsidTr="00BF5EE8">
        <w:tc>
          <w:tcPr>
            <w:tcW w:w="985" w:type="pct"/>
            <w:shd w:val="clear" w:color="auto" w:fill="2E74B5" w:themeFill="accent5" w:themeFillShade="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A2E960" w14:textId="77777777" w:rsidR="000026AC" w:rsidRPr="00625E33" w:rsidRDefault="000026AC" w:rsidP="00BF5EE8">
            <w:pPr>
              <w:wordWrap w:val="0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625E33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Library Type</w:t>
            </w:r>
          </w:p>
        </w:tc>
        <w:tc>
          <w:tcPr>
            <w:tcW w:w="785" w:type="pct"/>
            <w:shd w:val="clear" w:color="auto" w:fill="2E74B5" w:themeFill="accent5" w:themeFillShade="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DFBA13" w14:textId="77777777" w:rsidR="000026AC" w:rsidRPr="00625E33" w:rsidRDefault="000026AC" w:rsidP="00BF5EE8">
            <w:pPr>
              <w:wordWrap w:val="0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625E33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Sample Type</w:t>
            </w:r>
          </w:p>
        </w:tc>
        <w:tc>
          <w:tcPr>
            <w:tcW w:w="653" w:type="pct"/>
            <w:shd w:val="clear" w:color="auto" w:fill="2E74B5" w:themeFill="accent5" w:themeFillShade="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F25F91" w14:textId="77777777" w:rsidR="000026AC" w:rsidRPr="00625E33" w:rsidRDefault="000026AC" w:rsidP="00BF5EE8">
            <w:pPr>
              <w:wordWrap w:val="0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625E33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Amount</w:t>
            </w:r>
          </w:p>
        </w:tc>
        <w:tc>
          <w:tcPr>
            <w:tcW w:w="1364" w:type="pct"/>
            <w:shd w:val="clear" w:color="auto" w:fill="2E74B5" w:themeFill="accent5" w:themeFillShade="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491079" w14:textId="77777777" w:rsidR="000026AC" w:rsidRPr="00625E33" w:rsidRDefault="000026AC" w:rsidP="00BF5EE8">
            <w:pPr>
              <w:wordWrap w:val="0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625E33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RNA Integrity Number</w:t>
            </w:r>
            <w:r w:rsidRPr="00625E33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br/>
              <w:t>(Agilent 2100)</w:t>
            </w:r>
          </w:p>
        </w:tc>
        <w:tc>
          <w:tcPr>
            <w:tcW w:w="1213" w:type="pct"/>
            <w:shd w:val="clear" w:color="auto" w:fill="2E74B5" w:themeFill="accent5" w:themeFillShade="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09C0C9" w14:textId="77777777" w:rsidR="000026AC" w:rsidRPr="00625E33" w:rsidRDefault="000026AC" w:rsidP="00BF5EE8">
            <w:pPr>
              <w:wordWrap w:val="0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625E33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Purity</w:t>
            </w:r>
            <w:r w:rsidRPr="00625E33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br/>
              <w:t>(</w:t>
            </w:r>
            <w:proofErr w:type="spellStart"/>
            <w:r w:rsidRPr="00625E33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NanoDrop</w:t>
            </w:r>
            <w:proofErr w:type="spellEnd"/>
            <w:r w:rsidRPr="00625E33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)</w:t>
            </w:r>
          </w:p>
        </w:tc>
      </w:tr>
      <w:tr w:rsidR="000026AC" w:rsidRPr="00625E33" w14:paraId="6E54389D" w14:textId="77777777" w:rsidTr="00BF5EE8">
        <w:tc>
          <w:tcPr>
            <w:tcW w:w="985" w:type="pct"/>
            <w:tcBorders>
              <w:top w:val="nil"/>
              <w:left w:val="single" w:sz="6" w:space="0" w:color="477FB8"/>
              <w:bottom w:val="single" w:sz="6" w:space="0" w:color="477FB8"/>
              <w:right w:val="single" w:sz="6" w:space="0" w:color="477FB8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C05E1F" w14:textId="77777777" w:rsidR="000026AC" w:rsidRPr="00625E33" w:rsidRDefault="000026AC" w:rsidP="00BF5EE8">
            <w:pPr>
              <w:wordWrap w:val="0"/>
              <w:rPr>
                <w:rFonts w:ascii="Calibri" w:eastAsia="Times New Roman" w:hAnsi="Calibri" w:cs="Calibri"/>
                <w:color w:val="032E53"/>
              </w:rPr>
            </w:pPr>
            <w:r w:rsidRPr="00625E33">
              <w:rPr>
                <w:rFonts w:ascii="Calibri" w:eastAsia="Times New Roman" w:hAnsi="Calibri" w:cs="Calibri"/>
                <w:color w:val="032E53"/>
              </w:rPr>
              <w:lastRenderedPageBreak/>
              <w:t>lncRNA Library</w:t>
            </w:r>
          </w:p>
        </w:tc>
        <w:tc>
          <w:tcPr>
            <w:tcW w:w="785" w:type="pct"/>
            <w:tcBorders>
              <w:top w:val="nil"/>
              <w:left w:val="single" w:sz="6" w:space="0" w:color="477FB8"/>
              <w:bottom w:val="single" w:sz="6" w:space="0" w:color="477FB8"/>
              <w:right w:val="single" w:sz="6" w:space="0" w:color="477FB8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E788ED" w14:textId="77777777" w:rsidR="000026AC" w:rsidRPr="00625E33" w:rsidRDefault="000026AC" w:rsidP="00BF5EE8">
            <w:pPr>
              <w:wordWrap w:val="0"/>
              <w:rPr>
                <w:rFonts w:ascii="Calibri" w:eastAsia="Times New Roman" w:hAnsi="Calibri" w:cs="Calibri"/>
                <w:color w:val="032E53"/>
              </w:rPr>
            </w:pPr>
            <w:r w:rsidRPr="00625E33">
              <w:rPr>
                <w:rFonts w:ascii="Calibri" w:eastAsia="Times New Roman" w:hAnsi="Calibri" w:cs="Calibri"/>
                <w:color w:val="032E53"/>
              </w:rPr>
              <w:t>Total RNA</w:t>
            </w:r>
          </w:p>
        </w:tc>
        <w:tc>
          <w:tcPr>
            <w:tcW w:w="653" w:type="pct"/>
            <w:tcBorders>
              <w:top w:val="nil"/>
              <w:left w:val="single" w:sz="6" w:space="0" w:color="477FB8"/>
              <w:bottom w:val="single" w:sz="6" w:space="0" w:color="477FB8"/>
              <w:right w:val="single" w:sz="6" w:space="0" w:color="477FB8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7CD8C0" w14:textId="00FADD3F" w:rsidR="000026AC" w:rsidRPr="00625E33" w:rsidRDefault="000026AC" w:rsidP="00BF5EE8">
            <w:pPr>
              <w:wordWrap w:val="0"/>
              <w:rPr>
                <w:rFonts w:ascii="Calibri" w:eastAsia="Times New Roman" w:hAnsi="Calibri" w:cs="Calibri"/>
                <w:color w:val="032E53"/>
              </w:rPr>
            </w:pPr>
            <w:r w:rsidRPr="00625E33">
              <w:rPr>
                <w:rFonts w:ascii="Calibri" w:eastAsia="Times New Roman" w:hAnsi="Calibri" w:cs="Calibri"/>
                <w:color w:val="032E53"/>
              </w:rPr>
              <w:t xml:space="preserve">≥ </w:t>
            </w:r>
            <w:r w:rsidR="00757D8C" w:rsidRPr="00757D8C">
              <w:rPr>
                <w:rFonts w:ascii="Calibri" w:eastAsia="Times New Roman" w:hAnsi="Calibri" w:cs="Calibri"/>
                <w:color w:val="032E53"/>
              </w:rPr>
              <w:t>500ng</w:t>
            </w:r>
          </w:p>
        </w:tc>
        <w:tc>
          <w:tcPr>
            <w:tcW w:w="1364" w:type="pct"/>
            <w:tcBorders>
              <w:top w:val="nil"/>
              <w:left w:val="single" w:sz="6" w:space="0" w:color="477FB8"/>
              <w:bottom w:val="single" w:sz="6" w:space="0" w:color="477FB8"/>
              <w:right w:val="single" w:sz="6" w:space="0" w:color="477FB8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93F067" w14:textId="77777777" w:rsidR="000026AC" w:rsidRPr="00625E33" w:rsidRDefault="000026AC" w:rsidP="00BF5EE8">
            <w:pPr>
              <w:wordWrap w:val="0"/>
              <w:rPr>
                <w:rFonts w:ascii="Calibri" w:eastAsia="Times New Roman" w:hAnsi="Calibri" w:cs="Calibri"/>
                <w:color w:val="032E53"/>
              </w:rPr>
            </w:pPr>
            <w:r w:rsidRPr="00625E33">
              <w:rPr>
                <w:rFonts w:ascii="Calibri" w:eastAsia="Times New Roman" w:hAnsi="Calibri" w:cs="Calibri"/>
                <w:color w:val="032E53"/>
              </w:rPr>
              <w:t>Animal ≥ 6.5, Plant ≥ 6, with smooth baseline</w:t>
            </w:r>
          </w:p>
        </w:tc>
        <w:tc>
          <w:tcPr>
            <w:tcW w:w="1213" w:type="pct"/>
            <w:vMerge w:val="restart"/>
            <w:tcBorders>
              <w:top w:val="nil"/>
              <w:left w:val="single" w:sz="6" w:space="0" w:color="477FB8"/>
              <w:bottom w:val="single" w:sz="6" w:space="0" w:color="477FB8"/>
              <w:right w:val="single" w:sz="6" w:space="0" w:color="477FB8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7A712A" w14:textId="77777777" w:rsidR="000026AC" w:rsidRPr="00625E33" w:rsidRDefault="000026AC" w:rsidP="00BF5EE8">
            <w:pPr>
              <w:wordWrap w:val="0"/>
              <w:rPr>
                <w:rFonts w:ascii="Calibri" w:eastAsia="Times New Roman" w:hAnsi="Calibri" w:cs="Calibri"/>
                <w:color w:val="032E53"/>
              </w:rPr>
            </w:pPr>
            <w:r w:rsidRPr="00625E33">
              <w:rPr>
                <w:rFonts w:ascii="Calibri" w:eastAsia="Times New Roman" w:hAnsi="Calibri" w:cs="Calibri"/>
                <w:color w:val="032E53"/>
              </w:rPr>
              <w:t>OD260/280 = 1.8-2.2;</w:t>
            </w:r>
            <w:r w:rsidRPr="00625E33">
              <w:rPr>
                <w:rFonts w:ascii="Calibri" w:eastAsia="Times New Roman" w:hAnsi="Calibri" w:cs="Calibri"/>
                <w:color w:val="032E53"/>
              </w:rPr>
              <w:br/>
              <w:t>OD260/230 ≥ 1.8;</w:t>
            </w:r>
          </w:p>
        </w:tc>
      </w:tr>
      <w:tr w:rsidR="000026AC" w:rsidRPr="00625E33" w14:paraId="286B617F" w14:textId="77777777" w:rsidTr="00BF5EE8">
        <w:tc>
          <w:tcPr>
            <w:tcW w:w="985" w:type="pct"/>
            <w:tcBorders>
              <w:top w:val="nil"/>
              <w:left w:val="single" w:sz="6" w:space="0" w:color="477FB8"/>
              <w:bottom w:val="single" w:sz="6" w:space="0" w:color="477FB8"/>
              <w:right w:val="single" w:sz="6" w:space="0" w:color="477FB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0CCF81" w14:textId="77777777" w:rsidR="000026AC" w:rsidRPr="00625E33" w:rsidRDefault="000026AC" w:rsidP="00BF5EE8">
            <w:pPr>
              <w:wordWrap w:val="0"/>
              <w:rPr>
                <w:rFonts w:ascii="Calibri" w:eastAsia="Times New Roman" w:hAnsi="Calibri" w:cs="Calibri"/>
                <w:color w:val="032E53"/>
              </w:rPr>
            </w:pPr>
            <w:proofErr w:type="spellStart"/>
            <w:r w:rsidRPr="00625E33">
              <w:rPr>
                <w:rFonts w:ascii="Calibri" w:eastAsia="Times New Roman" w:hAnsi="Calibri" w:cs="Calibri"/>
                <w:color w:val="032E53"/>
              </w:rPr>
              <w:t>Exosomal</w:t>
            </w:r>
            <w:proofErr w:type="spellEnd"/>
            <w:r w:rsidRPr="00625E33">
              <w:rPr>
                <w:rFonts w:ascii="Calibri" w:eastAsia="Times New Roman" w:hAnsi="Calibri" w:cs="Calibri"/>
                <w:color w:val="032E53"/>
              </w:rPr>
              <w:t xml:space="preserve"> lncRNA Library</w:t>
            </w:r>
          </w:p>
        </w:tc>
        <w:tc>
          <w:tcPr>
            <w:tcW w:w="785" w:type="pct"/>
            <w:tcBorders>
              <w:top w:val="nil"/>
              <w:left w:val="single" w:sz="6" w:space="0" w:color="477FB8"/>
              <w:bottom w:val="single" w:sz="6" w:space="0" w:color="477FB8"/>
              <w:right w:val="single" w:sz="6" w:space="0" w:color="477FB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815410" w14:textId="77777777" w:rsidR="000026AC" w:rsidRPr="00625E33" w:rsidRDefault="000026AC" w:rsidP="00BF5EE8">
            <w:pPr>
              <w:wordWrap w:val="0"/>
              <w:rPr>
                <w:rFonts w:ascii="Calibri" w:eastAsia="Times New Roman" w:hAnsi="Calibri" w:cs="Calibri"/>
                <w:color w:val="032E53"/>
              </w:rPr>
            </w:pPr>
            <w:proofErr w:type="spellStart"/>
            <w:r w:rsidRPr="00625E33">
              <w:rPr>
                <w:rFonts w:ascii="Calibri" w:eastAsia="Times New Roman" w:hAnsi="Calibri" w:cs="Calibri"/>
                <w:color w:val="032E53"/>
              </w:rPr>
              <w:t>Exosomal</w:t>
            </w:r>
            <w:proofErr w:type="spellEnd"/>
            <w:r w:rsidRPr="00625E33">
              <w:rPr>
                <w:rFonts w:ascii="Calibri" w:eastAsia="Times New Roman" w:hAnsi="Calibri" w:cs="Calibri"/>
                <w:color w:val="032E53"/>
              </w:rPr>
              <w:t xml:space="preserve"> RNA</w:t>
            </w:r>
          </w:p>
        </w:tc>
        <w:tc>
          <w:tcPr>
            <w:tcW w:w="653" w:type="pct"/>
            <w:tcBorders>
              <w:top w:val="nil"/>
              <w:left w:val="single" w:sz="6" w:space="0" w:color="477FB8"/>
              <w:bottom w:val="single" w:sz="6" w:space="0" w:color="477FB8"/>
              <w:right w:val="single" w:sz="6" w:space="0" w:color="477FB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82DF99" w14:textId="77777777" w:rsidR="000026AC" w:rsidRPr="00625E33" w:rsidRDefault="000026AC" w:rsidP="00BF5EE8">
            <w:pPr>
              <w:wordWrap w:val="0"/>
              <w:rPr>
                <w:rFonts w:ascii="Calibri" w:eastAsia="Times New Roman" w:hAnsi="Calibri" w:cs="Calibri"/>
                <w:color w:val="032E53"/>
              </w:rPr>
            </w:pPr>
            <w:r w:rsidRPr="00625E33">
              <w:rPr>
                <w:rFonts w:ascii="Calibri" w:eastAsia="Times New Roman" w:hAnsi="Calibri" w:cs="Calibri"/>
                <w:color w:val="032E53"/>
              </w:rPr>
              <w:t xml:space="preserve">≥ </w:t>
            </w:r>
            <w:proofErr w:type="spellStart"/>
            <w:r w:rsidRPr="00625E33">
              <w:rPr>
                <w:rFonts w:ascii="Calibri" w:eastAsia="Times New Roman" w:hAnsi="Calibri" w:cs="Calibri"/>
                <w:color w:val="032E53"/>
              </w:rPr>
              <w:t>20ng</w:t>
            </w:r>
            <w:proofErr w:type="spellEnd"/>
          </w:p>
        </w:tc>
        <w:tc>
          <w:tcPr>
            <w:tcW w:w="1364" w:type="pct"/>
            <w:tcBorders>
              <w:top w:val="nil"/>
              <w:left w:val="single" w:sz="6" w:space="0" w:color="477FB8"/>
              <w:bottom w:val="single" w:sz="6" w:space="0" w:color="477FB8"/>
              <w:right w:val="single" w:sz="6" w:space="0" w:color="477FB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C8DF19" w14:textId="77777777" w:rsidR="000026AC" w:rsidRPr="00625E33" w:rsidRDefault="000026AC" w:rsidP="00BF5EE8">
            <w:pPr>
              <w:wordWrap w:val="0"/>
              <w:rPr>
                <w:rFonts w:ascii="Calibri" w:eastAsia="Times New Roman" w:hAnsi="Calibri" w:cs="Calibri"/>
                <w:color w:val="032E53"/>
              </w:rPr>
            </w:pPr>
            <w:r w:rsidRPr="00625E33">
              <w:rPr>
                <w:rFonts w:ascii="Calibri" w:eastAsia="Times New Roman" w:hAnsi="Calibri" w:cs="Calibri"/>
                <w:color w:val="032E53"/>
              </w:rPr>
              <w:t>Peak between 25-</w:t>
            </w:r>
            <w:proofErr w:type="spellStart"/>
            <w:r w:rsidRPr="00625E33">
              <w:rPr>
                <w:rFonts w:ascii="Calibri" w:eastAsia="Times New Roman" w:hAnsi="Calibri" w:cs="Calibri"/>
                <w:color w:val="032E53"/>
              </w:rPr>
              <w:t>200nt</w:t>
            </w:r>
            <w:proofErr w:type="spellEnd"/>
            <w:r w:rsidRPr="00625E33">
              <w:rPr>
                <w:rFonts w:ascii="Calibri" w:eastAsia="Times New Roman" w:hAnsi="Calibri" w:cs="Calibri"/>
                <w:color w:val="032E53"/>
              </w:rPr>
              <w:t xml:space="preserve">, FU&gt; 10, no peak &gt; </w:t>
            </w:r>
            <w:proofErr w:type="spellStart"/>
            <w:r w:rsidRPr="00625E33">
              <w:rPr>
                <w:rFonts w:ascii="Calibri" w:eastAsia="Times New Roman" w:hAnsi="Calibri" w:cs="Calibri"/>
                <w:color w:val="032E53"/>
              </w:rPr>
              <w:t>2000nt</w:t>
            </w:r>
            <w:proofErr w:type="spellEnd"/>
          </w:p>
        </w:tc>
        <w:tc>
          <w:tcPr>
            <w:tcW w:w="1213" w:type="pct"/>
            <w:vMerge/>
            <w:tcBorders>
              <w:top w:val="nil"/>
              <w:left w:val="single" w:sz="6" w:space="0" w:color="477FB8"/>
              <w:bottom w:val="single" w:sz="6" w:space="0" w:color="477FB8"/>
              <w:right w:val="single" w:sz="6" w:space="0" w:color="477FB8"/>
            </w:tcBorders>
            <w:vAlign w:val="center"/>
            <w:hideMark/>
          </w:tcPr>
          <w:p w14:paraId="5A23BF36" w14:textId="77777777" w:rsidR="000026AC" w:rsidRPr="00625E33" w:rsidRDefault="000026AC" w:rsidP="00BF5EE8">
            <w:pPr>
              <w:rPr>
                <w:rFonts w:ascii="Calibri" w:eastAsia="Times New Roman" w:hAnsi="Calibri" w:cs="Calibri"/>
                <w:color w:val="032E53"/>
              </w:rPr>
            </w:pPr>
          </w:p>
        </w:tc>
      </w:tr>
    </w:tbl>
    <w:p w14:paraId="3A8807AC" w14:textId="77777777" w:rsidR="000026AC" w:rsidRPr="00625E33" w:rsidRDefault="000026AC" w:rsidP="000026AC">
      <w:pPr>
        <w:shd w:val="clear" w:color="auto" w:fill="FFFFFF"/>
        <w:rPr>
          <w:rFonts w:ascii="Calibri" w:eastAsia="Times New Roman" w:hAnsi="Calibri" w:cs="Calibri"/>
          <w:color w:val="1F3F5A"/>
          <w:sz w:val="24"/>
        </w:rPr>
      </w:pPr>
    </w:p>
    <w:p w14:paraId="0F9B36B7" w14:textId="51345690" w:rsidR="000026AC" w:rsidRPr="00625E33" w:rsidRDefault="000026AC" w:rsidP="000026AC">
      <w:pPr>
        <w:rPr>
          <w:rFonts w:ascii="Calibri" w:hAnsi="Calibri" w:cs="Calibri"/>
          <w:sz w:val="24"/>
          <w:highlight w:val="white"/>
        </w:rPr>
      </w:pPr>
      <w:r w:rsidRPr="00625E33">
        <w:rPr>
          <w:rFonts w:ascii="Calibri" w:hAnsi="Calibri" w:cs="Calibri"/>
          <w:sz w:val="24"/>
          <w:highlight w:val="white"/>
        </w:rPr>
        <w:t xml:space="preserve">Note: Sample amounts displayed are for reference only. Download the </w:t>
      </w:r>
      <w:hyperlink r:id="rId5" w:anchor="top_btn">
        <w:r w:rsidRPr="00625E33">
          <w:rPr>
            <w:rFonts w:ascii="Calibri" w:hAnsi="Calibri" w:cs="Calibri"/>
            <w:color w:val="0070C0"/>
            <w:sz w:val="24"/>
            <w:highlight w:val="white"/>
            <w:u w:val="single"/>
          </w:rPr>
          <w:t>Service Specifications</w:t>
        </w:r>
      </w:hyperlink>
      <w:r w:rsidRPr="00625E33">
        <w:rPr>
          <w:rFonts w:ascii="Calibri" w:hAnsi="Calibri" w:cs="Calibri"/>
          <w:color w:val="0070C0"/>
          <w:sz w:val="24"/>
          <w:highlight w:val="white"/>
        </w:rPr>
        <w:t xml:space="preserve"> </w:t>
      </w:r>
      <w:r w:rsidR="00645E7B" w:rsidRPr="00625E33">
        <w:rPr>
          <w:rFonts w:ascii="Calibri" w:hAnsi="Calibri" w:cs="Calibri"/>
          <w:sz w:val="24"/>
          <w:highlight w:val="white"/>
          <w:lang w:eastAsia="zh-CN"/>
        </w:rPr>
        <w:t xml:space="preserve">or </w:t>
      </w:r>
      <w:r w:rsidR="00645E7B" w:rsidRPr="00625E33">
        <w:rPr>
          <w:rFonts w:ascii="Calibri" w:hAnsi="Calibri" w:cs="Calibri"/>
          <w:color w:val="0070C0"/>
          <w:sz w:val="24"/>
          <w:highlight w:val="white"/>
          <w:u w:val="single"/>
          <w:lang w:eastAsia="zh-CN"/>
        </w:rPr>
        <w:t>Sample Requirements</w:t>
      </w:r>
      <w:r w:rsidR="00645E7B" w:rsidRPr="00625E33">
        <w:rPr>
          <w:rFonts w:ascii="Calibri" w:hAnsi="Calibri" w:cs="Calibri"/>
          <w:color w:val="0070C0"/>
          <w:sz w:val="24"/>
          <w:highlight w:val="white"/>
          <w:lang w:eastAsia="zh-CN"/>
        </w:rPr>
        <w:t xml:space="preserve"> </w:t>
      </w:r>
      <w:r w:rsidR="00645E7B" w:rsidRPr="00625E33">
        <w:rPr>
          <w:rFonts w:ascii="Calibri" w:hAnsi="Calibri" w:cs="Calibri"/>
          <w:sz w:val="24"/>
          <w:highlight w:val="white"/>
          <w:lang w:eastAsia="zh-CN"/>
        </w:rPr>
        <w:t xml:space="preserve">to </w:t>
      </w:r>
      <w:r w:rsidRPr="00625E33">
        <w:rPr>
          <w:rFonts w:ascii="Calibri" w:hAnsi="Calibri" w:cs="Calibri"/>
          <w:sz w:val="24"/>
          <w:highlight w:val="white"/>
        </w:rPr>
        <w:t xml:space="preserve">learn more. For detailed information, please </w:t>
      </w:r>
      <w:hyperlink r:id="rId6">
        <w:r w:rsidRPr="00625E33">
          <w:rPr>
            <w:rFonts w:ascii="Calibri" w:hAnsi="Calibri" w:cs="Calibri"/>
            <w:color w:val="0070C0"/>
            <w:sz w:val="24"/>
            <w:highlight w:val="white"/>
            <w:u w:val="single"/>
          </w:rPr>
          <w:t>contact us</w:t>
        </w:r>
      </w:hyperlink>
      <w:r w:rsidRPr="00625E33">
        <w:rPr>
          <w:rFonts w:ascii="Calibri" w:hAnsi="Calibri" w:cs="Calibri"/>
          <w:sz w:val="24"/>
          <w:highlight w:val="white"/>
        </w:rPr>
        <w:t>.</w:t>
      </w:r>
    </w:p>
    <w:p w14:paraId="5FE9A794" w14:textId="15B7472B" w:rsidR="00645E7B" w:rsidRPr="00625E33" w:rsidRDefault="00645E7B" w:rsidP="000026AC">
      <w:pPr>
        <w:rPr>
          <w:rFonts w:ascii="Calibri" w:hAnsi="Calibri" w:cs="Calibri"/>
          <w:color w:val="1F3F5A"/>
          <w:sz w:val="24"/>
          <w:highlight w:val="white"/>
        </w:rPr>
      </w:pPr>
    </w:p>
    <w:p w14:paraId="508ECD2A" w14:textId="56F97F37" w:rsidR="000026AC" w:rsidRPr="00625E33" w:rsidRDefault="00645E7B" w:rsidP="000026AC">
      <w:pPr>
        <w:rPr>
          <w:rFonts w:ascii="Calibri" w:hAnsi="Calibri" w:cs="Calibri"/>
          <w:b/>
          <w:bCs/>
          <w:sz w:val="24"/>
        </w:rPr>
      </w:pPr>
      <w:proofErr w:type="spellStart"/>
      <w:r w:rsidRPr="00625E33">
        <w:rPr>
          <w:rFonts w:ascii="Calibri" w:hAnsi="Calibri" w:cs="Calibri"/>
          <w:b/>
          <w:bCs/>
          <w:sz w:val="24"/>
          <w:highlight w:val="yellow"/>
        </w:rPr>
        <w:t>H2</w:t>
      </w:r>
      <w:proofErr w:type="spellEnd"/>
      <w:r w:rsidRPr="00625E33">
        <w:rPr>
          <w:rFonts w:ascii="Calibri" w:hAnsi="Calibri" w:cs="Calibri"/>
          <w:b/>
          <w:bCs/>
          <w:sz w:val="24"/>
          <w:highlight w:val="yellow"/>
        </w:rPr>
        <w:t>: lncRNA</w:t>
      </w:r>
      <w:r w:rsidR="006D6E25">
        <w:rPr>
          <w:rFonts w:ascii="Calibri" w:hAnsi="Calibri" w:cs="Calibri"/>
          <w:b/>
          <w:bCs/>
          <w:sz w:val="24"/>
          <w:highlight w:val="yellow"/>
        </w:rPr>
        <w:t>-seq</w:t>
      </w:r>
      <w:r w:rsidRPr="00625E33">
        <w:rPr>
          <w:rFonts w:ascii="Calibri" w:hAnsi="Calibri" w:cs="Calibri"/>
          <w:b/>
          <w:bCs/>
          <w:sz w:val="24"/>
          <w:highlight w:val="yellow"/>
        </w:rPr>
        <w:t xml:space="preserve"> Specifications: Sequencing &amp; Analysis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2"/>
        <w:gridCol w:w="6582"/>
      </w:tblGrid>
      <w:tr w:rsidR="00645E7B" w:rsidRPr="00625E33" w14:paraId="33D8945C" w14:textId="77777777" w:rsidTr="00BF5EE8">
        <w:tc>
          <w:tcPr>
            <w:tcW w:w="1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74B5" w:themeFill="accent5" w:themeFillShade="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E6C0F6" w14:textId="1187F19B" w:rsidR="00645E7B" w:rsidRPr="00625E33" w:rsidRDefault="00645E7B" w:rsidP="00BF5EE8">
            <w:pPr>
              <w:wordWrap w:val="0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</w:rPr>
            </w:pPr>
            <w:r w:rsidRPr="00625E3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</w:rPr>
              <w:t>Sequencing Platform</w:t>
            </w:r>
          </w:p>
        </w:tc>
        <w:tc>
          <w:tcPr>
            <w:tcW w:w="3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74B5" w:themeFill="accent5" w:themeFillShade="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858F56" w14:textId="77777777" w:rsidR="00645E7B" w:rsidRPr="00625E33" w:rsidRDefault="00645E7B" w:rsidP="00BF5EE8">
            <w:pPr>
              <w:wordWrap w:val="0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</w:rPr>
            </w:pPr>
            <w:r w:rsidRPr="00625E3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</w:rPr>
              <w:t xml:space="preserve">Illumina </w:t>
            </w:r>
            <w:proofErr w:type="spellStart"/>
            <w:r w:rsidRPr="00625E3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</w:rPr>
              <w:t>Novaseq</w:t>
            </w:r>
            <w:proofErr w:type="spellEnd"/>
            <w:r w:rsidRPr="00625E3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</w:rPr>
              <w:t xml:space="preserve"> 6000</w:t>
            </w:r>
          </w:p>
        </w:tc>
      </w:tr>
      <w:tr w:rsidR="00645E7B" w:rsidRPr="00625E33" w14:paraId="7BFC28FC" w14:textId="77777777" w:rsidTr="00BF5EE8">
        <w:tc>
          <w:tcPr>
            <w:tcW w:w="1478" w:type="pct"/>
            <w:tcBorders>
              <w:top w:val="outset" w:sz="2" w:space="0" w:color="auto"/>
              <w:left w:val="single" w:sz="6" w:space="0" w:color="477FB8"/>
              <w:bottom w:val="single" w:sz="6" w:space="0" w:color="477FB8"/>
              <w:right w:val="single" w:sz="6" w:space="0" w:color="477FB8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C05727" w14:textId="77777777" w:rsidR="00645E7B" w:rsidRPr="00625E33" w:rsidRDefault="00645E7B" w:rsidP="00BF5EE8">
            <w:pPr>
              <w:wordWrap w:val="0"/>
              <w:rPr>
                <w:rFonts w:ascii="Calibri" w:eastAsia="Times New Roman" w:hAnsi="Calibri" w:cs="Calibri"/>
                <w:color w:val="032E53"/>
                <w:sz w:val="24"/>
              </w:rPr>
            </w:pPr>
            <w:r w:rsidRPr="00625E33">
              <w:rPr>
                <w:rFonts w:ascii="Calibri" w:eastAsia="Times New Roman" w:hAnsi="Calibri" w:cs="Calibri"/>
                <w:color w:val="032E53"/>
                <w:sz w:val="24"/>
              </w:rPr>
              <w:t>Read Length</w:t>
            </w:r>
          </w:p>
        </w:tc>
        <w:tc>
          <w:tcPr>
            <w:tcW w:w="3522" w:type="pct"/>
            <w:tcBorders>
              <w:top w:val="outset" w:sz="2" w:space="0" w:color="auto"/>
              <w:left w:val="single" w:sz="6" w:space="0" w:color="477FB8"/>
              <w:bottom w:val="single" w:sz="6" w:space="0" w:color="477FB8"/>
              <w:right w:val="single" w:sz="6" w:space="0" w:color="477FB8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DC42D0" w14:textId="77777777" w:rsidR="00645E7B" w:rsidRPr="00625E33" w:rsidRDefault="00645E7B" w:rsidP="00BF5EE8">
            <w:pPr>
              <w:wordWrap w:val="0"/>
              <w:rPr>
                <w:rFonts w:ascii="Calibri" w:eastAsia="Times New Roman" w:hAnsi="Calibri" w:cs="Calibri"/>
                <w:color w:val="032E53"/>
                <w:sz w:val="24"/>
              </w:rPr>
            </w:pPr>
            <w:proofErr w:type="gramStart"/>
            <w:r w:rsidRPr="00625E33">
              <w:rPr>
                <w:rFonts w:ascii="Calibri" w:eastAsia="Times New Roman" w:hAnsi="Calibri" w:cs="Calibri"/>
                <w:color w:val="032E53"/>
                <w:sz w:val="24"/>
              </w:rPr>
              <w:t>Paired-end</w:t>
            </w:r>
            <w:proofErr w:type="gramEnd"/>
            <w:r w:rsidRPr="00625E33">
              <w:rPr>
                <w:rFonts w:ascii="Calibri" w:eastAsia="Times New Roman" w:hAnsi="Calibri" w:cs="Calibri"/>
                <w:color w:val="032E53"/>
                <w:sz w:val="24"/>
              </w:rPr>
              <w:t xml:space="preserve"> 150</w:t>
            </w:r>
          </w:p>
        </w:tc>
      </w:tr>
      <w:tr w:rsidR="00645E7B" w:rsidRPr="00625E33" w14:paraId="7A8844CC" w14:textId="77777777" w:rsidTr="00BF5EE8">
        <w:tc>
          <w:tcPr>
            <w:tcW w:w="1478" w:type="pct"/>
            <w:tcBorders>
              <w:top w:val="outset" w:sz="2" w:space="0" w:color="auto"/>
              <w:left w:val="single" w:sz="6" w:space="0" w:color="477FB8"/>
              <w:bottom w:val="single" w:sz="6" w:space="0" w:color="477FB8"/>
              <w:right w:val="single" w:sz="6" w:space="0" w:color="477F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BD3C78" w14:textId="77777777" w:rsidR="00645E7B" w:rsidRPr="00625E33" w:rsidRDefault="00645E7B" w:rsidP="00BF5EE8">
            <w:pPr>
              <w:wordWrap w:val="0"/>
              <w:rPr>
                <w:rFonts w:ascii="Calibri" w:eastAsia="Times New Roman" w:hAnsi="Calibri" w:cs="Calibri"/>
                <w:color w:val="032E53"/>
                <w:sz w:val="24"/>
              </w:rPr>
            </w:pPr>
            <w:r w:rsidRPr="00625E33">
              <w:rPr>
                <w:rFonts w:ascii="Calibri" w:eastAsia="Times New Roman" w:hAnsi="Calibri" w:cs="Calibri"/>
                <w:color w:val="032E53"/>
                <w:sz w:val="24"/>
              </w:rPr>
              <w:t>Recommended Data Output</w:t>
            </w:r>
          </w:p>
        </w:tc>
        <w:tc>
          <w:tcPr>
            <w:tcW w:w="3522" w:type="pct"/>
            <w:tcBorders>
              <w:top w:val="outset" w:sz="2" w:space="0" w:color="auto"/>
              <w:left w:val="single" w:sz="6" w:space="0" w:color="477FB8"/>
              <w:bottom w:val="single" w:sz="6" w:space="0" w:color="477FB8"/>
              <w:right w:val="single" w:sz="6" w:space="0" w:color="477F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C570E1" w14:textId="77777777" w:rsidR="00645E7B" w:rsidRPr="00625E33" w:rsidRDefault="00645E7B" w:rsidP="00BF5EE8">
            <w:pPr>
              <w:wordWrap w:val="0"/>
              <w:rPr>
                <w:rFonts w:ascii="Calibri" w:eastAsia="Times New Roman" w:hAnsi="Calibri" w:cs="Calibri"/>
                <w:color w:val="032E53"/>
                <w:sz w:val="24"/>
              </w:rPr>
            </w:pPr>
            <w:r w:rsidRPr="00625E33">
              <w:rPr>
                <w:rFonts w:ascii="Calibri" w:eastAsia="Times New Roman" w:hAnsi="Calibri" w:cs="Calibri"/>
                <w:color w:val="032E53"/>
                <w:sz w:val="24"/>
              </w:rPr>
              <w:t>≥ 40 million read pairs per sample</w:t>
            </w:r>
          </w:p>
        </w:tc>
      </w:tr>
      <w:tr w:rsidR="00645E7B" w:rsidRPr="00625E33" w14:paraId="2EED3F4F" w14:textId="77777777" w:rsidTr="00BF5EE8">
        <w:tc>
          <w:tcPr>
            <w:tcW w:w="1478" w:type="pct"/>
            <w:tcBorders>
              <w:top w:val="outset" w:sz="2" w:space="0" w:color="auto"/>
              <w:left w:val="single" w:sz="6" w:space="0" w:color="477FB8"/>
              <w:bottom w:val="single" w:sz="6" w:space="0" w:color="477FB8"/>
              <w:right w:val="single" w:sz="6" w:space="0" w:color="477FB8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C436E0" w14:textId="77777777" w:rsidR="00645E7B" w:rsidRPr="00625E33" w:rsidRDefault="00645E7B" w:rsidP="00BF5EE8">
            <w:pPr>
              <w:wordWrap w:val="0"/>
              <w:rPr>
                <w:rFonts w:ascii="Calibri" w:eastAsia="Times New Roman" w:hAnsi="Calibri" w:cs="Calibri"/>
                <w:color w:val="032E53"/>
                <w:sz w:val="24"/>
              </w:rPr>
            </w:pPr>
            <w:r w:rsidRPr="00625E33">
              <w:rPr>
                <w:rFonts w:ascii="Calibri" w:eastAsia="Times New Roman" w:hAnsi="Calibri" w:cs="Calibri"/>
                <w:color w:val="032E53"/>
                <w:sz w:val="24"/>
              </w:rPr>
              <w:t>Standard Data Analysis</w:t>
            </w:r>
          </w:p>
        </w:tc>
        <w:tc>
          <w:tcPr>
            <w:tcW w:w="3522" w:type="pct"/>
            <w:tcBorders>
              <w:top w:val="outset" w:sz="2" w:space="0" w:color="auto"/>
              <w:left w:val="single" w:sz="6" w:space="0" w:color="477FB8"/>
              <w:bottom w:val="single" w:sz="6" w:space="0" w:color="477FB8"/>
              <w:right w:val="single" w:sz="6" w:space="0" w:color="477FB8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7A1772" w14:textId="77777777" w:rsidR="00645E7B" w:rsidRPr="00625E33" w:rsidRDefault="00645E7B" w:rsidP="00645E7B">
            <w:pPr>
              <w:numPr>
                <w:ilvl w:val="0"/>
                <w:numId w:val="2"/>
              </w:numPr>
              <w:wordWrap w:val="0"/>
              <w:spacing w:before="100" w:beforeAutospacing="1" w:after="100" w:afterAutospacing="1" w:line="300" w:lineRule="atLeast"/>
              <w:rPr>
                <w:rFonts w:ascii="Calibri" w:eastAsia="Times New Roman" w:hAnsi="Calibri" w:cs="Calibri"/>
                <w:color w:val="032E53"/>
                <w:sz w:val="24"/>
              </w:rPr>
            </w:pPr>
            <w:r w:rsidRPr="00625E33">
              <w:rPr>
                <w:rFonts w:ascii="Calibri" w:eastAsia="Times New Roman" w:hAnsi="Calibri" w:cs="Calibri"/>
                <w:color w:val="032E53"/>
                <w:sz w:val="24"/>
              </w:rPr>
              <w:t>Data Quality Control</w:t>
            </w:r>
          </w:p>
          <w:p w14:paraId="38E27C15" w14:textId="0A80AA3D" w:rsidR="00645E7B" w:rsidRPr="00625E33" w:rsidRDefault="00645E7B" w:rsidP="00645E7B">
            <w:pPr>
              <w:numPr>
                <w:ilvl w:val="0"/>
                <w:numId w:val="2"/>
              </w:numPr>
              <w:wordWrap w:val="0"/>
              <w:spacing w:before="100" w:beforeAutospacing="1" w:after="100" w:afterAutospacing="1" w:line="300" w:lineRule="atLeast"/>
              <w:rPr>
                <w:rFonts w:ascii="Calibri" w:eastAsia="Times New Roman" w:hAnsi="Calibri" w:cs="Calibri"/>
                <w:color w:val="032E53"/>
                <w:sz w:val="24"/>
              </w:rPr>
            </w:pPr>
            <w:r w:rsidRPr="00625E33">
              <w:rPr>
                <w:rFonts w:ascii="Calibri" w:eastAsia="Times New Roman" w:hAnsi="Calibri" w:cs="Calibri"/>
                <w:color w:val="032E53"/>
                <w:sz w:val="24"/>
              </w:rPr>
              <w:t>Structural Analysis (Alternative Splicing &amp; Variation Calling)</w:t>
            </w:r>
          </w:p>
          <w:p w14:paraId="63BEFB48" w14:textId="77777777" w:rsidR="00645E7B" w:rsidRPr="00625E33" w:rsidRDefault="00645E7B" w:rsidP="00645E7B">
            <w:pPr>
              <w:numPr>
                <w:ilvl w:val="0"/>
                <w:numId w:val="2"/>
              </w:numPr>
              <w:wordWrap w:val="0"/>
              <w:spacing w:before="100" w:beforeAutospacing="1" w:after="100" w:afterAutospacing="1" w:line="300" w:lineRule="atLeast"/>
              <w:rPr>
                <w:rFonts w:ascii="Calibri" w:eastAsia="Times New Roman" w:hAnsi="Calibri" w:cs="Calibri"/>
                <w:color w:val="032E53"/>
                <w:sz w:val="24"/>
              </w:rPr>
            </w:pPr>
            <w:r w:rsidRPr="00625E33">
              <w:rPr>
                <w:rFonts w:ascii="Calibri" w:eastAsia="Times New Roman" w:hAnsi="Calibri" w:cs="Calibri"/>
                <w:color w:val="032E53"/>
                <w:sz w:val="24"/>
              </w:rPr>
              <w:t>lncRNA Identification &amp; Annotation</w:t>
            </w:r>
          </w:p>
          <w:p w14:paraId="30BAE834" w14:textId="77777777" w:rsidR="00645E7B" w:rsidRPr="00625E33" w:rsidRDefault="00645E7B" w:rsidP="00645E7B">
            <w:pPr>
              <w:numPr>
                <w:ilvl w:val="0"/>
                <w:numId w:val="2"/>
              </w:numPr>
              <w:wordWrap w:val="0"/>
              <w:spacing w:before="100" w:beforeAutospacing="1" w:after="100" w:afterAutospacing="1" w:line="300" w:lineRule="atLeast"/>
              <w:rPr>
                <w:rFonts w:ascii="Calibri" w:eastAsia="Times New Roman" w:hAnsi="Calibri" w:cs="Calibri"/>
                <w:color w:val="032E53"/>
                <w:sz w:val="24"/>
              </w:rPr>
            </w:pPr>
            <w:r w:rsidRPr="00625E33">
              <w:rPr>
                <w:rFonts w:ascii="Calibri" w:eastAsia="Times New Roman" w:hAnsi="Calibri" w:cs="Calibri"/>
                <w:color w:val="032E53"/>
                <w:sz w:val="24"/>
              </w:rPr>
              <w:t>Expression Quantification &amp; Differential Expression Profiling</w:t>
            </w:r>
          </w:p>
          <w:p w14:paraId="0D6ACDB6" w14:textId="77777777" w:rsidR="00645E7B" w:rsidRPr="00625E33" w:rsidRDefault="00645E7B" w:rsidP="00645E7B">
            <w:pPr>
              <w:numPr>
                <w:ilvl w:val="0"/>
                <w:numId w:val="2"/>
              </w:numPr>
              <w:wordWrap w:val="0"/>
              <w:spacing w:before="100" w:beforeAutospacing="1" w:after="100" w:afterAutospacing="1" w:line="300" w:lineRule="atLeast"/>
              <w:rPr>
                <w:rFonts w:ascii="Calibri" w:eastAsia="Times New Roman" w:hAnsi="Calibri" w:cs="Calibri"/>
                <w:color w:val="032E53"/>
                <w:sz w:val="24"/>
              </w:rPr>
            </w:pPr>
            <w:r w:rsidRPr="00625E33">
              <w:rPr>
                <w:rFonts w:ascii="Calibri" w:eastAsia="Times New Roman" w:hAnsi="Calibri" w:cs="Calibri"/>
                <w:color w:val="032E53"/>
                <w:sz w:val="24"/>
              </w:rPr>
              <w:t>Functional Enrichment Analysis</w:t>
            </w:r>
          </w:p>
          <w:p w14:paraId="55628925" w14:textId="77777777" w:rsidR="00645E7B" w:rsidRPr="00625E33" w:rsidRDefault="00645E7B" w:rsidP="00645E7B">
            <w:pPr>
              <w:numPr>
                <w:ilvl w:val="0"/>
                <w:numId w:val="2"/>
              </w:numPr>
              <w:wordWrap w:val="0"/>
              <w:spacing w:before="100" w:beforeAutospacing="1" w:after="100" w:afterAutospacing="1" w:line="300" w:lineRule="atLeast"/>
              <w:rPr>
                <w:rFonts w:ascii="Calibri" w:eastAsia="Times New Roman" w:hAnsi="Calibri" w:cs="Calibri"/>
                <w:color w:val="032E53"/>
                <w:sz w:val="24"/>
              </w:rPr>
            </w:pPr>
            <w:r w:rsidRPr="00625E33">
              <w:rPr>
                <w:rFonts w:ascii="Calibri" w:eastAsia="Times New Roman" w:hAnsi="Calibri" w:cs="Calibri"/>
                <w:color w:val="032E53"/>
                <w:sz w:val="24"/>
              </w:rPr>
              <w:t>Protein-Protein Interaction (PPI) analysis</w:t>
            </w:r>
          </w:p>
          <w:p w14:paraId="40343BF7" w14:textId="77777777" w:rsidR="00645E7B" w:rsidRPr="00625E33" w:rsidRDefault="00645E7B" w:rsidP="00645E7B">
            <w:pPr>
              <w:numPr>
                <w:ilvl w:val="0"/>
                <w:numId w:val="2"/>
              </w:numPr>
              <w:wordWrap w:val="0"/>
              <w:spacing w:before="100" w:beforeAutospacing="1" w:after="100" w:afterAutospacing="1" w:line="300" w:lineRule="atLeast"/>
              <w:rPr>
                <w:rFonts w:ascii="Calibri" w:eastAsia="Times New Roman" w:hAnsi="Calibri" w:cs="Calibri"/>
                <w:color w:val="032E53"/>
                <w:sz w:val="24"/>
              </w:rPr>
            </w:pPr>
            <w:r w:rsidRPr="00625E33">
              <w:rPr>
                <w:rFonts w:ascii="Calibri" w:eastAsia="Times New Roman" w:hAnsi="Calibri" w:cs="Calibri"/>
                <w:color w:val="032E53"/>
                <w:sz w:val="24"/>
              </w:rPr>
              <w:t>lncRNA Target Gene Prediction</w:t>
            </w:r>
          </w:p>
        </w:tc>
      </w:tr>
    </w:tbl>
    <w:p w14:paraId="0DA68313" w14:textId="2486EF3A" w:rsidR="00645E7B" w:rsidRPr="00625E33" w:rsidRDefault="00645E7B" w:rsidP="00645E7B">
      <w:pPr>
        <w:rPr>
          <w:rFonts w:ascii="Calibri" w:hAnsi="Calibri" w:cs="Calibri"/>
          <w:color w:val="1F3F5A"/>
          <w:sz w:val="24"/>
          <w:highlight w:val="white"/>
        </w:rPr>
      </w:pPr>
      <w:r w:rsidRPr="00625E33">
        <w:rPr>
          <w:rFonts w:ascii="Calibri" w:hAnsi="Calibri" w:cs="Calibri"/>
          <w:sz w:val="24"/>
          <w:highlight w:val="white"/>
        </w:rPr>
        <w:t xml:space="preserve">Note: Parameters are displayed for reference only. Download the </w:t>
      </w:r>
      <w:hyperlink r:id="rId7" w:anchor="top_btn">
        <w:r w:rsidRPr="00625E33">
          <w:rPr>
            <w:rFonts w:ascii="Calibri" w:hAnsi="Calibri" w:cs="Calibri"/>
            <w:color w:val="0070C0"/>
            <w:sz w:val="24"/>
            <w:highlight w:val="white"/>
            <w:u w:val="single"/>
          </w:rPr>
          <w:t>Service Specifications</w:t>
        </w:r>
      </w:hyperlink>
      <w:r w:rsidRPr="00625E33">
        <w:rPr>
          <w:rFonts w:ascii="Calibri" w:hAnsi="Calibri" w:cs="Calibri"/>
          <w:sz w:val="24"/>
          <w:highlight w:val="white"/>
        </w:rPr>
        <w:t xml:space="preserve"> to learn more. For detailed information, please </w:t>
      </w:r>
      <w:hyperlink r:id="rId8">
        <w:r w:rsidRPr="00625E33">
          <w:rPr>
            <w:rFonts w:ascii="Calibri" w:hAnsi="Calibri" w:cs="Calibri"/>
            <w:color w:val="0070C0"/>
            <w:sz w:val="24"/>
            <w:highlight w:val="white"/>
            <w:u w:val="single"/>
          </w:rPr>
          <w:t>contact us</w:t>
        </w:r>
      </w:hyperlink>
      <w:r w:rsidRPr="00625E33">
        <w:rPr>
          <w:rFonts w:ascii="Calibri" w:hAnsi="Calibri" w:cs="Calibri"/>
          <w:sz w:val="24"/>
          <w:highlight w:val="white"/>
        </w:rPr>
        <w:t>.</w:t>
      </w:r>
    </w:p>
    <w:p w14:paraId="1085D1B8" w14:textId="77777777" w:rsidR="00645E7B" w:rsidRPr="00625E33" w:rsidRDefault="00645E7B" w:rsidP="00645E7B">
      <w:pPr>
        <w:rPr>
          <w:rFonts w:ascii="Calibri" w:hAnsi="Calibri" w:cs="Calibri"/>
          <w:b/>
          <w:bCs/>
          <w:sz w:val="24"/>
          <w:highlight w:val="yellow"/>
        </w:rPr>
      </w:pPr>
    </w:p>
    <w:p w14:paraId="0B982EC8" w14:textId="296E88E0" w:rsidR="00645E7B" w:rsidRPr="00625E33" w:rsidRDefault="00645E7B" w:rsidP="00645E7B">
      <w:pPr>
        <w:rPr>
          <w:rFonts w:ascii="Calibri" w:hAnsi="Calibri" w:cs="Calibri"/>
          <w:b/>
          <w:bCs/>
          <w:sz w:val="24"/>
        </w:rPr>
      </w:pPr>
      <w:proofErr w:type="spellStart"/>
      <w:r w:rsidRPr="00625E33">
        <w:rPr>
          <w:rFonts w:ascii="Calibri" w:hAnsi="Calibri" w:cs="Calibri"/>
          <w:b/>
          <w:bCs/>
          <w:sz w:val="24"/>
          <w:highlight w:val="yellow"/>
        </w:rPr>
        <w:t>H2</w:t>
      </w:r>
      <w:proofErr w:type="spellEnd"/>
      <w:r w:rsidRPr="00625E33">
        <w:rPr>
          <w:rFonts w:ascii="Calibri" w:hAnsi="Calibri" w:cs="Calibri"/>
          <w:b/>
          <w:bCs/>
          <w:sz w:val="24"/>
          <w:highlight w:val="yellow"/>
        </w:rPr>
        <w:t xml:space="preserve">: </w:t>
      </w:r>
      <w:proofErr w:type="spellStart"/>
      <w:r w:rsidRPr="00625E33">
        <w:rPr>
          <w:rFonts w:ascii="Calibri" w:hAnsi="Calibri" w:cs="Calibri"/>
          <w:b/>
          <w:bCs/>
          <w:sz w:val="24"/>
          <w:highlight w:val="yellow"/>
        </w:rPr>
        <w:t>Novogene</w:t>
      </w:r>
      <w:proofErr w:type="spellEnd"/>
      <w:r w:rsidRPr="00625E33">
        <w:rPr>
          <w:rFonts w:ascii="Calibri" w:hAnsi="Calibri" w:cs="Calibri"/>
          <w:b/>
          <w:bCs/>
          <w:sz w:val="24"/>
          <w:highlight w:val="yellow"/>
        </w:rPr>
        <w:t xml:space="preserve"> lncRNA Sequencing Project Workflow</w:t>
      </w:r>
    </w:p>
    <w:p w14:paraId="68476F9E" w14:textId="77777777" w:rsidR="00645E7B" w:rsidRPr="00625E33" w:rsidRDefault="00645E7B" w:rsidP="00645E7B">
      <w:pPr>
        <w:rPr>
          <w:rFonts w:ascii="Calibri" w:hAnsi="Calibri" w:cs="Calibri"/>
          <w:sz w:val="24"/>
        </w:rPr>
      </w:pPr>
    </w:p>
    <w:p w14:paraId="1E14339C" w14:textId="77777777" w:rsidR="00A8617E" w:rsidRDefault="00A8617E" w:rsidP="00625E33">
      <w:pPr>
        <w:rPr>
          <w:rFonts w:ascii="Calibri" w:hAnsi="Calibri" w:cs="Calibri"/>
          <w:color w:val="FF0000"/>
          <w:lang w:eastAsia="zh-CN"/>
        </w:rPr>
      </w:pPr>
    </w:p>
    <w:p w14:paraId="0019BE05" w14:textId="317AC353" w:rsidR="00625E33" w:rsidRPr="006D6E25" w:rsidRDefault="00625E33" w:rsidP="00625E33">
      <w:pPr>
        <w:rPr>
          <w:rFonts w:ascii="Calibri" w:hAnsi="Calibri" w:cs="Calibri"/>
          <w:color w:val="000000" w:themeColor="text1"/>
          <w:lang w:eastAsia="zh-CN"/>
        </w:rPr>
      </w:pPr>
      <w:r w:rsidRPr="006D6E25">
        <w:rPr>
          <w:rFonts w:ascii="Calibri" w:hAnsi="Calibri" w:cs="Calibri"/>
          <w:color w:val="000000" w:themeColor="text1"/>
          <w:lang w:eastAsia="zh-CN"/>
        </w:rPr>
        <w:t xml:space="preserve">The workflow of the lncRNA-seq </w:t>
      </w:r>
      <w:r w:rsidR="00A8617E" w:rsidRPr="006D6E25">
        <w:rPr>
          <w:rFonts w:ascii="Calibri" w:hAnsi="Calibri" w:cs="Calibri"/>
          <w:color w:val="000000" w:themeColor="text1"/>
          <w:lang w:eastAsia="zh-CN"/>
        </w:rPr>
        <w:t xml:space="preserve">initiates from the preparations and </w:t>
      </w:r>
      <w:r w:rsidRPr="006D6E25">
        <w:rPr>
          <w:rFonts w:ascii="Calibri" w:hAnsi="Calibri" w:cs="Calibri"/>
          <w:color w:val="000000" w:themeColor="text1"/>
          <w:lang w:eastAsia="zh-CN"/>
        </w:rPr>
        <w:t>the</w:t>
      </w:r>
      <w:r w:rsidR="00A8617E" w:rsidRPr="006D6E25">
        <w:rPr>
          <w:rFonts w:ascii="Calibri" w:hAnsi="Calibri" w:cs="Calibri"/>
          <w:color w:val="000000" w:themeColor="text1"/>
          <w:lang w:eastAsia="zh-CN"/>
        </w:rPr>
        <w:t xml:space="preserve"> quality</w:t>
      </w:r>
      <w:r w:rsidRPr="006D6E25">
        <w:rPr>
          <w:rFonts w:ascii="Calibri" w:hAnsi="Calibri" w:cs="Calibri"/>
          <w:color w:val="000000" w:themeColor="text1"/>
          <w:lang w:eastAsia="zh-CN"/>
        </w:rPr>
        <w:t xml:space="preserve"> evaluation of sample</w:t>
      </w:r>
      <w:r w:rsidR="00A8617E" w:rsidRPr="006D6E25">
        <w:rPr>
          <w:rFonts w:ascii="Calibri" w:hAnsi="Calibri" w:cs="Calibri"/>
          <w:color w:val="000000" w:themeColor="text1"/>
          <w:lang w:eastAsia="zh-CN"/>
        </w:rPr>
        <w:t>s</w:t>
      </w:r>
      <w:r w:rsidRPr="006D6E25">
        <w:rPr>
          <w:rFonts w:ascii="Calibri" w:hAnsi="Calibri" w:cs="Calibri"/>
          <w:color w:val="000000" w:themeColor="text1"/>
          <w:lang w:eastAsia="zh-CN"/>
        </w:rPr>
        <w:t xml:space="preserve">. </w:t>
      </w:r>
      <w:r w:rsidR="00A8617E" w:rsidRPr="006D6E25">
        <w:rPr>
          <w:rFonts w:ascii="Calibri" w:hAnsi="Calibri" w:cs="Calibri"/>
          <w:color w:val="000000" w:themeColor="text1"/>
          <w:lang w:eastAsia="zh-CN"/>
        </w:rPr>
        <w:t>T</w:t>
      </w:r>
      <w:r w:rsidRPr="006D6E25">
        <w:rPr>
          <w:rFonts w:ascii="Calibri" w:hAnsi="Calibri" w:cs="Calibri"/>
          <w:color w:val="000000" w:themeColor="text1"/>
          <w:lang w:eastAsia="zh-CN"/>
        </w:rPr>
        <w:t>he ribosomal RNA (rRNA) is depleted</w:t>
      </w:r>
      <w:r w:rsidR="00A8617E" w:rsidRPr="006D6E25">
        <w:rPr>
          <w:rFonts w:ascii="Calibri" w:hAnsi="Calibri" w:cs="Calibri"/>
          <w:color w:val="000000" w:themeColor="text1"/>
          <w:lang w:eastAsia="zh-CN"/>
        </w:rPr>
        <w:t xml:space="preserve"> for </w:t>
      </w:r>
      <w:r w:rsidR="00647783">
        <w:rPr>
          <w:rFonts w:ascii="Calibri" w:hAnsi="Calibri" w:cs="Calibri"/>
          <w:color w:val="000000" w:themeColor="text1"/>
          <w:lang w:eastAsia="zh-CN"/>
        </w:rPr>
        <w:t xml:space="preserve">target </w:t>
      </w:r>
      <w:r w:rsidR="00A8617E" w:rsidRPr="006D6E25">
        <w:rPr>
          <w:rFonts w:ascii="Calibri" w:hAnsi="Calibri" w:cs="Calibri"/>
          <w:color w:val="000000" w:themeColor="text1"/>
          <w:lang w:eastAsia="zh-CN"/>
        </w:rPr>
        <w:t>transcript enrichment. The</w:t>
      </w:r>
      <w:r w:rsidRPr="006D6E25">
        <w:rPr>
          <w:rFonts w:ascii="Calibri" w:hAnsi="Calibri" w:cs="Calibri"/>
          <w:color w:val="000000" w:themeColor="text1"/>
          <w:lang w:eastAsia="zh-CN"/>
        </w:rPr>
        <w:t xml:space="preserve"> </w:t>
      </w:r>
      <w:r w:rsidR="00373EFF">
        <w:rPr>
          <w:rFonts w:ascii="Calibri" w:hAnsi="Calibri" w:cs="Calibri" w:hint="eastAsia"/>
          <w:color w:val="000000" w:themeColor="text1"/>
          <w:lang w:eastAsia="zh-CN"/>
        </w:rPr>
        <w:t>fra</w:t>
      </w:r>
      <w:r w:rsidR="00373EFF">
        <w:rPr>
          <w:rFonts w:ascii="Calibri" w:hAnsi="Calibri" w:cs="Calibri"/>
          <w:color w:val="000000" w:themeColor="text1"/>
          <w:lang w:eastAsia="zh-CN"/>
        </w:rPr>
        <w:t xml:space="preserve">gmented </w:t>
      </w:r>
      <w:r w:rsidRPr="006D6E25">
        <w:rPr>
          <w:rFonts w:ascii="Calibri" w:hAnsi="Calibri" w:cs="Calibri"/>
          <w:color w:val="000000" w:themeColor="text1"/>
          <w:lang w:eastAsia="zh-CN"/>
        </w:rPr>
        <w:t>RNA undergoes reverse transcription into cDNA</w:t>
      </w:r>
      <w:r w:rsidR="00A8617E" w:rsidRPr="006D6E25">
        <w:rPr>
          <w:rFonts w:ascii="Calibri" w:hAnsi="Calibri" w:cs="Calibri"/>
          <w:color w:val="000000" w:themeColor="text1"/>
          <w:lang w:eastAsia="zh-CN"/>
        </w:rPr>
        <w:t>.</w:t>
      </w:r>
      <w:r w:rsidRPr="006D6E25">
        <w:rPr>
          <w:rFonts w:ascii="Calibri" w:hAnsi="Calibri" w:cs="Calibri"/>
          <w:color w:val="000000" w:themeColor="text1"/>
          <w:lang w:eastAsia="zh-CN"/>
        </w:rPr>
        <w:t xml:space="preserve"> </w:t>
      </w:r>
      <w:r w:rsidR="00A8617E" w:rsidRPr="006D6E25">
        <w:rPr>
          <w:rFonts w:ascii="Calibri" w:hAnsi="Calibri" w:cs="Calibri"/>
          <w:b/>
          <w:bCs/>
          <w:color w:val="000000" w:themeColor="text1"/>
          <w:lang w:eastAsia="zh-CN"/>
        </w:rPr>
        <w:t>S</w:t>
      </w:r>
      <w:r w:rsidRPr="006D6E25">
        <w:rPr>
          <w:rFonts w:ascii="Calibri" w:hAnsi="Calibri" w:cs="Calibri"/>
          <w:b/>
          <w:bCs/>
          <w:color w:val="000000" w:themeColor="text1"/>
          <w:lang w:eastAsia="zh-CN"/>
        </w:rPr>
        <w:t>trand-specific librar</w:t>
      </w:r>
      <w:r w:rsidR="00A8617E" w:rsidRPr="006D6E25">
        <w:rPr>
          <w:rFonts w:ascii="Calibri" w:hAnsi="Calibri" w:cs="Calibri"/>
          <w:b/>
          <w:bCs/>
          <w:color w:val="000000" w:themeColor="text1"/>
          <w:lang w:eastAsia="zh-CN"/>
        </w:rPr>
        <w:t>ies</w:t>
      </w:r>
      <w:r w:rsidR="00A8617E" w:rsidRPr="006D6E25">
        <w:rPr>
          <w:rFonts w:ascii="Calibri" w:hAnsi="Calibri" w:cs="Calibri"/>
          <w:color w:val="000000" w:themeColor="text1"/>
          <w:lang w:eastAsia="zh-CN"/>
        </w:rPr>
        <w:t xml:space="preserve"> (also known as </w:t>
      </w:r>
      <w:r w:rsidR="00A8617E" w:rsidRPr="006D6E25">
        <w:rPr>
          <w:rFonts w:ascii="Calibri" w:hAnsi="Calibri" w:cs="Calibri"/>
          <w:b/>
          <w:bCs/>
          <w:color w:val="000000" w:themeColor="text1"/>
          <w:lang w:eastAsia="zh-CN"/>
        </w:rPr>
        <w:t>stranded libraries</w:t>
      </w:r>
      <w:r w:rsidR="00A8617E" w:rsidRPr="006D6E25">
        <w:rPr>
          <w:rFonts w:ascii="Calibri" w:hAnsi="Calibri" w:cs="Calibri"/>
          <w:color w:val="000000" w:themeColor="text1"/>
          <w:lang w:eastAsia="zh-CN"/>
        </w:rPr>
        <w:t xml:space="preserve">, </w:t>
      </w:r>
      <w:r w:rsidR="00A8617E" w:rsidRPr="006D6E25">
        <w:rPr>
          <w:rFonts w:ascii="Calibri" w:hAnsi="Calibri" w:cs="Calibri"/>
          <w:b/>
          <w:bCs/>
          <w:color w:val="000000" w:themeColor="text1"/>
          <w:lang w:eastAsia="zh-CN"/>
        </w:rPr>
        <w:t>directional libraries</w:t>
      </w:r>
      <w:r w:rsidR="00A8617E" w:rsidRPr="006D6E25">
        <w:rPr>
          <w:rFonts w:ascii="Calibri" w:hAnsi="Calibri" w:cs="Calibri"/>
          <w:color w:val="000000" w:themeColor="text1"/>
          <w:lang w:eastAsia="zh-CN"/>
        </w:rPr>
        <w:t>) are</w:t>
      </w:r>
      <w:r w:rsidRPr="006D6E25">
        <w:rPr>
          <w:rFonts w:ascii="Calibri" w:hAnsi="Calibri" w:cs="Calibri"/>
          <w:color w:val="000000" w:themeColor="text1"/>
          <w:lang w:eastAsia="zh-CN"/>
        </w:rPr>
        <w:t xml:space="preserve"> prepared, and the sequencing is performed using a </w:t>
      </w:r>
      <w:r w:rsidRPr="006D6E25">
        <w:rPr>
          <w:rFonts w:ascii="Calibri" w:hAnsi="Calibri" w:cs="Calibri"/>
          <w:b/>
          <w:bCs/>
          <w:color w:val="000000" w:themeColor="text1"/>
          <w:lang w:eastAsia="zh-CN"/>
        </w:rPr>
        <w:t xml:space="preserve">paired-end </w:t>
      </w:r>
      <w:proofErr w:type="spellStart"/>
      <w:r w:rsidRPr="006D6E25">
        <w:rPr>
          <w:rFonts w:ascii="Calibri" w:hAnsi="Calibri" w:cs="Calibri"/>
          <w:b/>
          <w:bCs/>
          <w:color w:val="000000" w:themeColor="text1"/>
          <w:lang w:eastAsia="zh-CN"/>
        </w:rPr>
        <w:t>150bp</w:t>
      </w:r>
      <w:proofErr w:type="spellEnd"/>
      <w:r w:rsidRPr="006D6E25">
        <w:rPr>
          <w:rFonts w:ascii="Calibri" w:hAnsi="Calibri" w:cs="Calibri"/>
          <w:b/>
          <w:bCs/>
          <w:color w:val="000000" w:themeColor="text1"/>
          <w:lang w:eastAsia="zh-CN"/>
        </w:rPr>
        <w:t xml:space="preserve"> strategy</w:t>
      </w:r>
      <w:r w:rsidRPr="006D6E25">
        <w:rPr>
          <w:rFonts w:ascii="Calibri" w:hAnsi="Calibri" w:cs="Calibri"/>
          <w:color w:val="000000" w:themeColor="text1"/>
          <w:lang w:eastAsia="zh-CN"/>
        </w:rPr>
        <w:t xml:space="preserve"> on the </w:t>
      </w:r>
      <w:r w:rsidRPr="006D6E25">
        <w:rPr>
          <w:rFonts w:ascii="Calibri" w:hAnsi="Calibri" w:cs="Calibri"/>
          <w:color w:val="000000" w:themeColor="text1"/>
          <w:u w:val="single"/>
          <w:lang w:eastAsia="zh-CN"/>
        </w:rPr>
        <w:t>Illumina platform</w:t>
      </w:r>
      <w:r w:rsidRPr="006D6E25">
        <w:rPr>
          <w:rFonts w:ascii="Calibri" w:hAnsi="Calibri" w:cs="Calibri"/>
          <w:color w:val="000000" w:themeColor="text1"/>
          <w:lang w:eastAsia="zh-CN"/>
        </w:rPr>
        <w:t xml:space="preserve">. </w:t>
      </w:r>
      <w:r w:rsidR="00A8617E" w:rsidRPr="006D6E25">
        <w:rPr>
          <w:rFonts w:ascii="Calibri" w:hAnsi="Calibri" w:cs="Calibri"/>
          <w:color w:val="000000" w:themeColor="text1"/>
          <w:lang w:eastAsia="zh-CN"/>
        </w:rPr>
        <w:t>The</w:t>
      </w:r>
      <w:r w:rsidRPr="006D6E25">
        <w:rPr>
          <w:rFonts w:ascii="Calibri" w:hAnsi="Calibri" w:cs="Calibri"/>
          <w:color w:val="000000" w:themeColor="text1"/>
          <w:lang w:eastAsia="zh-CN"/>
        </w:rPr>
        <w:t xml:space="preserve"> downstream processing follows the well-established and mature </w:t>
      </w:r>
      <w:proofErr w:type="spellStart"/>
      <w:r w:rsidRPr="006D6E25">
        <w:rPr>
          <w:rFonts w:ascii="Calibri" w:hAnsi="Calibri" w:cs="Calibri"/>
          <w:color w:val="000000" w:themeColor="text1"/>
          <w:lang w:eastAsia="zh-CN"/>
        </w:rPr>
        <w:t>Novogene</w:t>
      </w:r>
      <w:proofErr w:type="spellEnd"/>
      <w:r w:rsidRPr="006D6E25">
        <w:rPr>
          <w:rFonts w:ascii="Calibri" w:hAnsi="Calibri" w:cs="Calibri"/>
          <w:color w:val="000000" w:themeColor="text1"/>
          <w:lang w:eastAsia="zh-CN"/>
        </w:rPr>
        <w:t xml:space="preserve"> </w:t>
      </w:r>
      <w:r w:rsidRPr="006D6E25">
        <w:rPr>
          <w:rFonts w:ascii="Calibri" w:hAnsi="Calibri" w:cs="Calibri"/>
          <w:color w:val="000000" w:themeColor="text1"/>
          <w:lang w:eastAsia="zh-CN"/>
        </w:rPr>
        <w:lastRenderedPageBreak/>
        <w:t xml:space="preserve">pipeline, which guarantees the highest quality of the results. </w:t>
      </w:r>
      <w:r w:rsidR="00A8617E" w:rsidRPr="006D6E25">
        <w:rPr>
          <w:rFonts w:ascii="Calibri" w:hAnsi="Calibri" w:cs="Calibri"/>
          <w:color w:val="000000" w:themeColor="text1"/>
          <w:lang w:eastAsia="zh-CN"/>
        </w:rPr>
        <w:t>C</w:t>
      </w:r>
      <w:r w:rsidRPr="006D6E25">
        <w:rPr>
          <w:rFonts w:ascii="Calibri" w:hAnsi="Calibri" w:cs="Calibri"/>
          <w:color w:val="000000" w:themeColor="text1"/>
          <w:lang w:eastAsia="zh-CN"/>
        </w:rPr>
        <w:t>ustomized bioinformatics solutions are available upon request.</w:t>
      </w:r>
    </w:p>
    <w:p w14:paraId="34DB0248" w14:textId="77777777" w:rsidR="00625E33" w:rsidRPr="00625E33" w:rsidRDefault="00625E33" w:rsidP="00625E33">
      <w:pPr>
        <w:rPr>
          <w:rFonts w:ascii="Calibri" w:hAnsi="Calibri" w:cs="Calibri"/>
          <w:color w:val="FF0000"/>
          <w:lang w:eastAsia="zh-CN"/>
        </w:rPr>
      </w:pPr>
    </w:p>
    <w:p w14:paraId="35111D44" w14:textId="77777777" w:rsidR="00A8617E" w:rsidRPr="00625E33" w:rsidRDefault="00A8617E" w:rsidP="00A8617E">
      <w:pPr>
        <w:rPr>
          <w:rFonts w:ascii="Calibri" w:hAnsi="Calibri" w:cs="Calibri"/>
          <w:sz w:val="24"/>
        </w:rPr>
      </w:pPr>
      <w:r w:rsidRPr="00625E33">
        <w:rPr>
          <w:rFonts w:ascii="Calibri" w:hAnsi="Calibri" w:cs="Calibri"/>
          <w:noProof/>
          <w:sz w:val="24"/>
        </w:rPr>
        <w:drawing>
          <wp:inline distT="0" distB="0" distL="0" distR="0" wp14:anchorId="6C9C8F6B" wp14:editId="4D36F448">
            <wp:extent cx="5943600" cy="1753235"/>
            <wp:effectExtent l="0" t="0" r="0" b="0"/>
            <wp:docPr id="5" name="Picture 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46897" w14:textId="77777777" w:rsidR="00625E33" w:rsidRPr="00625E33" w:rsidRDefault="00625E33" w:rsidP="00625E33">
      <w:pPr>
        <w:rPr>
          <w:rFonts w:ascii="Calibri" w:hAnsi="Calibri" w:cs="Calibri"/>
          <w:color w:val="FF0000"/>
          <w:lang w:eastAsia="zh-CN"/>
        </w:rPr>
      </w:pPr>
    </w:p>
    <w:p w14:paraId="27E1E516" w14:textId="77777777" w:rsidR="00625E33" w:rsidRPr="00625E33" w:rsidRDefault="00625E33">
      <w:pPr>
        <w:spacing w:line="240" w:lineRule="auto"/>
        <w:rPr>
          <w:rFonts w:ascii="Calibri" w:hAnsi="Calibri" w:cs="Calibri"/>
          <w:color w:val="FF0000"/>
          <w:lang w:eastAsia="zh-CN"/>
        </w:rPr>
      </w:pPr>
      <w:r w:rsidRPr="00625E33">
        <w:rPr>
          <w:rFonts w:ascii="Calibri" w:hAnsi="Calibri" w:cs="Calibri"/>
          <w:color w:val="FF0000"/>
          <w:lang w:eastAsia="zh-CN"/>
        </w:rPr>
        <w:br w:type="page"/>
      </w:r>
    </w:p>
    <w:p w14:paraId="7AC318CB" w14:textId="240D28C5" w:rsidR="00645E7B" w:rsidRPr="00625E33" w:rsidRDefault="00645E7B" w:rsidP="00625E33">
      <w:pPr>
        <w:rPr>
          <w:rFonts w:ascii="Calibri" w:hAnsi="Calibri" w:cs="Calibri"/>
          <w:b/>
          <w:bCs/>
          <w:sz w:val="24"/>
        </w:rPr>
      </w:pPr>
      <w:r w:rsidRPr="00625E33">
        <w:rPr>
          <w:rFonts w:ascii="Calibri" w:hAnsi="Calibri" w:cs="Calibri"/>
          <w:b/>
          <w:bCs/>
          <w:sz w:val="24"/>
        </w:rPr>
        <w:lastRenderedPageBreak/>
        <w:t>Publications</w:t>
      </w:r>
    </w:p>
    <w:p w14:paraId="299B23CD" w14:textId="77777777" w:rsidR="00645E7B" w:rsidRPr="00625E33" w:rsidRDefault="00645E7B" w:rsidP="00645E7B">
      <w:pPr>
        <w:rPr>
          <w:rFonts w:ascii="Calibri" w:hAnsi="Calibri" w:cs="Calibri"/>
          <w:sz w:val="24"/>
        </w:rPr>
      </w:pPr>
      <w:r w:rsidRPr="00625E33">
        <w:rPr>
          <w:rFonts w:ascii="Calibri" w:hAnsi="Calibri"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5E0E8D" wp14:editId="68610286">
                <wp:simplePos x="0" y="0"/>
                <wp:positionH relativeFrom="column">
                  <wp:posOffset>0</wp:posOffset>
                </wp:positionH>
                <wp:positionV relativeFrom="paragraph">
                  <wp:posOffset>37011</wp:posOffset>
                </wp:positionV>
                <wp:extent cx="6035040" cy="0"/>
                <wp:effectExtent l="0" t="12700" r="2286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1F85EAC4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pt" to="475.2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" strokecolor="#4472c4 [3204]" strokeweight="2.25pt">
                <v:stroke joinstyle="miter"/>
              </v:line>
            </w:pict>
          </mc:Fallback>
        </mc:AlternateContent>
      </w:r>
    </w:p>
    <w:p w14:paraId="3FB93348" w14:textId="77777777" w:rsidR="00645E7B" w:rsidRPr="00625E33" w:rsidRDefault="00645E7B" w:rsidP="00645E7B">
      <w:pPr>
        <w:rPr>
          <w:rFonts w:ascii="Calibri" w:hAnsi="Calibri" w:cs="Calibri"/>
          <w:b/>
          <w:bCs/>
          <w:sz w:val="24"/>
        </w:rPr>
      </w:pPr>
      <w:proofErr w:type="spellStart"/>
      <w:r w:rsidRPr="00625E33">
        <w:rPr>
          <w:rFonts w:ascii="Calibri" w:hAnsi="Calibri" w:cs="Calibri"/>
          <w:b/>
          <w:bCs/>
          <w:sz w:val="24"/>
          <w:highlight w:val="yellow"/>
        </w:rPr>
        <w:t>H2</w:t>
      </w:r>
      <w:proofErr w:type="spellEnd"/>
      <w:r w:rsidRPr="00625E33">
        <w:rPr>
          <w:rFonts w:ascii="Calibri" w:hAnsi="Calibri" w:cs="Calibri"/>
          <w:b/>
          <w:bCs/>
          <w:sz w:val="24"/>
          <w:highlight w:val="yellow"/>
        </w:rPr>
        <w:t xml:space="preserve">: Featured publications using </w:t>
      </w:r>
      <w:proofErr w:type="spellStart"/>
      <w:r w:rsidRPr="00625E33">
        <w:rPr>
          <w:rFonts w:ascii="Calibri" w:hAnsi="Calibri" w:cs="Calibri"/>
          <w:b/>
          <w:bCs/>
          <w:sz w:val="24"/>
          <w:highlight w:val="yellow"/>
        </w:rPr>
        <w:t>Novogene</w:t>
      </w:r>
      <w:proofErr w:type="spellEnd"/>
      <w:r w:rsidRPr="00625E33">
        <w:rPr>
          <w:rFonts w:ascii="Calibri" w:hAnsi="Calibri" w:cs="Calibri"/>
          <w:b/>
          <w:bCs/>
          <w:sz w:val="24"/>
          <w:highlight w:val="yellow"/>
        </w:rPr>
        <w:t xml:space="preserve"> lncRNA service</w:t>
      </w:r>
    </w:p>
    <w:p w14:paraId="3EF139C2" w14:textId="77777777" w:rsidR="00645E7B" w:rsidRPr="00625E33" w:rsidRDefault="00645E7B" w:rsidP="00645E7B">
      <w:pPr>
        <w:rPr>
          <w:rFonts w:ascii="Calibri" w:hAnsi="Calibri" w:cs="Calibri"/>
          <w:sz w:val="24"/>
        </w:rPr>
      </w:pPr>
    </w:p>
    <w:p w14:paraId="474190D5" w14:textId="50464419" w:rsidR="00645E7B" w:rsidRPr="00625E33" w:rsidRDefault="00645E7B" w:rsidP="00645E7B">
      <w:pPr>
        <w:rPr>
          <w:rFonts w:ascii="Calibri" w:hAnsi="Calibri" w:cs="Calibri"/>
          <w:sz w:val="24"/>
        </w:rPr>
      </w:pPr>
      <w:r w:rsidRPr="00625E33">
        <w:rPr>
          <w:rFonts w:ascii="Calibri" w:hAnsi="Calibri" w:cs="Calibri"/>
          <w:sz w:val="24"/>
        </w:rPr>
        <w:t xml:space="preserve">LncRNA-seq is a powerful tool that not only reveals the quantification and functional enrichment of the target transcripts but also indicates the strand orientation and regulatory relationship between lncRNA and targeted mRNA. </w:t>
      </w:r>
      <w:proofErr w:type="spellStart"/>
      <w:r w:rsidR="00F12570" w:rsidRPr="00625E33">
        <w:rPr>
          <w:rFonts w:ascii="Calibri" w:hAnsi="Calibri" w:cs="Calibri"/>
          <w:sz w:val="24"/>
        </w:rPr>
        <w:t>There</w:t>
      </w:r>
      <w:proofErr w:type="spellEnd"/>
      <w:r w:rsidR="00F12570" w:rsidRPr="00625E33">
        <w:rPr>
          <w:rFonts w:ascii="Calibri" w:hAnsi="Calibri" w:cs="Calibri"/>
          <w:sz w:val="24"/>
        </w:rPr>
        <w:t xml:space="preserve"> list some </w:t>
      </w:r>
      <w:r w:rsidRPr="00625E33">
        <w:rPr>
          <w:rFonts w:ascii="Calibri" w:hAnsi="Calibri" w:cs="Calibri"/>
          <w:sz w:val="24"/>
        </w:rPr>
        <w:t xml:space="preserve">exciting publications that have used </w:t>
      </w:r>
      <w:proofErr w:type="spellStart"/>
      <w:r w:rsidRPr="00625E33">
        <w:rPr>
          <w:rFonts w:ascii="Calibri" w:hAnsi="Calibri" w:cs="Calibri"/>
          <w:sz w:val="24"/>
        </w:rPr>
        <w:t>Novogene’s</w:t>
      </w:r>
      <w:proofErr w:type="spellEnd"/>
      <w:r w:rsidRPr="00625E33">
        <w:rPr>
          <w:rFonts w:ascii="Calibri" w:hAnsi="Calibri" w:cs="Calibri"/>
          <w:sz w:val="24"/>
        </w:rPr>
        <w:t xml:space="preserve"> lncRNA-seq services.</w:t>
      </w:r>
    </w:p>
    <w:p w14:paraId="66D0A648" w14:textId="77777777" w:rsidR="00645E7B" w:rsidRPr="00625E33" w:rsidRDefault="00645E7B">
      <w:pPr>
        <w:rPr>
          <w:rFonts w:ascii="Calibri" w:hAnsi="Calibri" w:cs="Calibri"/>
          <w:lang w:eastAsia="zh-CN"/>
        </w:rPr>
      </w:pPr>
    </w:p>
    <w:sectPr w:rsidR="00645E7B" w:rsidRPr="00625E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D71565"/>
    <w:multiLevelType w:val="singleLevel"/>
    <w:tmpl w:val="0416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EC2292C"/>
    <w:multiLevelType w:val="multilevel"/>
    <w:tmpl w:val="5A82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E1"/>
    <w:rsid w:val="000026AC"/>
    <w:rsid w:val="00307C77"/>
    <w:rsid w:val="00373EFF"/>
    <w:rsid w:val="00455CE1"/>
    <w:rsid w:val="005F4B08"/>
    <w:rsid w:val="00625E33"/>
    <w:rsid w:val="00645E7B"/>
    <w:rsid w:val="00647783"/>
    <w:rsid w:val="006D6E25"/>
    <w:rsid w:val="00757D8C"/>
    <w:rsid w:val="00777F5F"/>
    <w:rsid w:val="00795F86"/>
    <w:rsid w:val="009874C0"/>
    <w:rsid w:val="00A8617E"/>
    <w:rsid w:val="00AE4DD9"/>
    <w:rsid w:val="00F12570"/>
    <w:rsid w:val="00FB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6CC1BA"/>
  <w15:chartTrackingRefBased/>
  <w15:docId w15:val="{0C50B4C5-8041-0343-94CF-1B62400B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CE1"/>
    <w:pPr>
      <w:spacing w:line="276" w:lineRule="auto"/>
    </w:pPr>
    <w:rPr>
      <w:rFonts w:ascii="Arial" w:eastAsia="SimSun" w:hAnsi="Arial" w:cs="Arial"/>
      <w:sz w:val="22"/>
      <w:szCs w:val="22"/>
      <w:lang w:val="en-US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F4B08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B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B08"/>
    <w:rPr>
      <w:rFonts w:ascii="Arial" w:eastAsia="SimSun" w:hAnsi="Arial" w:cs="Arial"/>
      <w:sz w:val="22"/>
      <w:szCs w:val="22"/>
      <w:lang w:val="en-US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B08"/>
    <w:rPr>
      <w:rFonts w:ascii="Arial" w:eastAsia="SimSun" w:hAnsi="Arial" w:cs="Arial"/>
      <w:b/>
      <w:bCs/>
      <w:sz w:val="22"/>
      <w:szCs w:val="22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1.novogene.com/contact-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1.novogene.com/services/research-services/transcriptome-sequencing/eukaryote-mrna-sequenc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1.novogene.com/contact-u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n1.novogene.com/services/research-services/transcriptome-sequencing/eukaryote-mrna-sequencin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louise</dc:creator>
  <cp:keywords/>
  <dc:description/>
  <cp:lastModifiedBy>wang louise</cp:lastModifiedBy>
  <cp:revision>13</cp:revision>
  <dcterms:created xsi:type="dcterms:W3CDTF">2021-05-12T08:58:00Z</dcterms:created>
  <dcterms:modified xsi:type="dcterms:W3CDTF">2021-05-18T09:55:00Z</dcterms:modified>
</cp:coreProperties>
</file>